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A1" w:rsidRDefault="00372DA1" w:rsidP="00950824">
      <w:pPr>
        <w:ind w:firstLineChars="600" w:firstLine="2280"/>
        <w:rPr>
          <w:rFonts w:ascii="????" w:eastAsia="隶书" w:hAnsi="????"/>
          <w:color w:val="333333"/>
          <w:sz w:val="38"/>
          <w:szCs w:val="38"/>
        </w:rPr>
      </w:pPr>
    </w:p>
    <w:p w:rsidR="00372DA1" w:rsidRPr="00A94CBB" w:rsidRDefault="00372DA1" w:rsidP="003421A0">
      <w:pPr>
        <w:jc w:val="center"/>
        <w:rPr>
          <w:rFonts w:ascii="隶书" w:eastAsia="隶书" w:hAnsi="Times New Roman" w:cs="隶书"/>
          <w:b/>
          <w:bCs/>
          <w:sz w:val="44"/>
          <w:szCs w:val="44"/>
        </w:rPr>
      </w:pPr>
      <w:r w:rsidRPr="00A94CBB">
        <w:rPr>
          <w:rFonts w:ascii="隶书" w:eastAsia="隶书" w:hAnsi="Times New Roman" w:cs="隶书" w:hint="eastAsia"/>
          <w:b/>
          <w:bCs/>
          <w:sz w:val="44"/>
          <w:szCs w:val="44"/>
        </w:rPr>
        <w:t>检视与重构：精英化与专业化导向下初任</w:t>
      </w:r>
    </w:p>
    <w:p w:rsidR="00372DA1" w:rsidRPr="00A94CBB" w:rsidRDefault="00372DA1" w:rsidP="003421A0">
      <w:pPr>
        <w:jc w:val="center"/>
        <w:rPr>
          <w:rFonts w:ascii="隶书" w:eastAsia="隶书" w:hAnsi="Times New Roman" w:cs="隶书"/>
          <w:b/>
          <w:bCs/>
          <w:sz w:val="44"/>
          <w:szCs w:val="44"/>
        </w:rPr>
      </w:pPr>
      <w:r w:rsidRPr="00A94CBB">
        <w:rPr>
          <w:rFonts w:ascii="隶书" w:eastAsia="隶书" w:hAnsi="Times New Roman" w:cs="隶书" w:hint="eastAsia"/>
          <w:b/>
          <w:bCs/>
          <w:sz w:val="44"/>
          <w:szCs w:val="44"/>
        </w:rPr>
        <w:t>法官基层入额制度的实效问题研究</w:t>
      </w:r>
    </w:p>
    <w:p w:rsidR="00372DA1" w:rsidRDefault="00372DA1">
      <w:pPr>
        <w:rPr>
          <w:rFonts w:ascii="宋体"/>
        </w:rPr>
      </w:pPr>
    </w:p>
    <w:p w:rsidR="00950824" w:rsidRDefault="00950824" w:rsidP="00950824">
      <w:pPr>
        <w:ind w:firstLineChars="200" w:firstLine="562"/>
        <w:rPr>
          <w:rFonts w:cs="宋体" w:hint="eastAsia"/>
          <w:b/>
          <w:bCs/>
          <w:sz w:val="28"/>
          <w:szCs w:val="28"/>
        </w:rPr>
      </w:pPr>
      <w:r>
        <w:rPr>
          <w:rFonts w:cs="宋体" w:hint="eastAsia"/>
          <w:b/>
          <w:bCs/>
          <w:sz w:val="28"/>
          <w:szCs w:val="28"/>
        </w:rPr>
        <w:t xml:space="preserve">                  </w:t>
      </w:r>
    </w:p>
    <w:p w:rsidR="00372DA1" w:rsidRPr="00DE5830" w:rsidRDefault="00C7415D" w:rsidP="00950824">
      <w:pPr>
        <w:rPr>
          <w:rFonts w:ascii="仿宋_GB2312" w:eastAsia="仿宋_GB2312" w:hAnsi="黑体" w:cs="黑体"/>
          <w:b/>
          <w:sz w:val="30"/>
          <w:szCs w:val="30"/>
        </w:rPr>
      </w:pPr>
      <w:r>
        <w:rPr>
          <w:rFonts w:ascii="仿宋_GB2312" w:eastAsia="仿宋_GB2312" w:hAnsi="黑体" w:cs="黑体" w:hint="eastAsia"/>
          <w:b/>
          <w:sz w:val="30"/>
          <w:szCs w:val="30"/>
        </w:rPr>
        <w:t xml:space="preserve">    </w:t>
      </w:r>
      <w:r w:rsidR="00372DA1" w:rsidRPr="00DE5830">
        <w:rPr>
          <w:rFonts w:ascii="仿宋_GB2312" w:eastAsia="仿宋_GB2312" w:hAnsi="黑体" w:cs="黑体" w:hint="eastAsia"/>
          <w:b/>
          <w:sz w:val="30"/>
          <w:szCs w:val="30"/>
        </w:rPr>
        <w:t>前</w:t>
      </w:r>
      <w:r w:rsidR="00950824">
        <w:rPr>
          <w:rFonts w:ascii="仿宋_GB2312" w:eastAsia="仿宋_GB2312" w:hAnsi="黑体" w:cs="黑体" w:hint="eastAsia"/>
          <w:b/>
          <w:sz w:val="30"/>
          <w:szCs w:val="30"/>
        </w:rPr>
        <w:t xml:space="preserve"> </w:t>
      </w:r>
      <w:r w:rsidR="00372DA1" w:rsidRPr="00DE5830">
        <w:rPr>
          <w:rFonts w:ascii="仿宋_GB2312" w:eastAsia="仿宋_GB2312" w:hAnsi="黑体" w:cs="黑体" w:hint="eastAsia"/>
          <w:b/>
          <w:sz w:val="30"/>
          <w:szCs w:val="30"/>
        </w:rPr>
        <w:t>言</w:t>
      </w:r>
    </w:p>
    <w:p w:rsidR="00372DA1" w:rsidRPr="00BF4FD3" w:rsidRDefault="00372DA1" w:rsidP="00950824">
      <w:pPr>
        <w:ind w:firstLineChars="200" w:firstLine="600"/>
        <w:rPr>
          <w:rFonts w:ascii="仿宋_GB2312" w:eastAsia="仿宋_GB2312" w:hAnsi="Times New Roman" w:cs="仿宋_GB2312"/>
          <w:sz w:val="30"/>
          <w:szCs w:val="30"/>
        </w:rPr>
      </w:pPr>
      <w:r w:rsidRPr="00BF4FD3">
        <w:rPr>
          <w:rFonts w:ascii="仿宋_GB2312" w:eastAsia="仿宋_GB2312" w:hAnsi="Times New Roman" w:cs="仿宋_GB2312" w:hint="eastAsia"/>
          <w:sz w:val="30"/>
          <w:szCs w:val="30"/>
        </w:rPr>
        <w:t>初任法官基层入额制度是贯彻落实党的十八届四中全会</w:t>
      </w:r>
      <w:r>
        <w:rPr>
          <w:rFonts w:ascii="仿宋_GB2312" w:eastAsia="仿宋_GB2312" w:hAnsi="Times New Roman" w:cs="仿宋_GB2312" w:hint="eastAsia"/>
          <w:sz w:val="30"/>
          <w:szCs w:val="30"/>
        </w:rPr>
        <w:t>关于</w:t>
      </w:r>
      <w:r w:rsidRPr="00BF4FD3">
        <w:rPr>
          <w:rFonts w:ascii="仿宋_GB2312" w:eastAsia="仿宋_GB2312" w:hAnsi="Times New Roman" w:cs="仿宋_GB2312" w:hint="eastAsia"/>
          <w:sz w:val="30"/>
          <w:szCs w:val="30"/>
        </w:rPr>
        <w:t>“推进法治专门队伍正规化、专业化、职业化，提高职业素养和专业水平”</w:t>
      </w:r>
      <w:r>
        <w:rPr>
          <w:rStyle w:val="aa"/>
          <w:rFonts w:ascii="仿宋_GB2312" w:eastAsia="仿宋_GB2312" w:hAnsi="Times New Roman" w:hint="eastAsia"/>
          <w:sz w:val="30"/>
          <w:szCs w:val="30"/>
        </w:rPr>
        <w:footnoteReference w:customMarkFollows="1" w:id="1"/>
        <w:t>（</w:t>
      </w:r>
      <w:r>
        <w:rPr>
          <w:rStyle w:val="aa"/>
          <w:rFonts w:ascii="仿宋_GB2312" w:eastAsia="仿宋_GB2312" w:hAnsi="Times New Roman"/>
          <w:sz w:val="30"/>
          <w:szCs w:val="30"/>
        </w:rPr>
        <w:t>1</w:t>
      </w:r>
      <w:r>
        <w:rPr>
          <w:rStyle w:val="aa"/>
          <w:rFonts w:ascii="仿宋_GB2312" w:eastAsia="仿宋_GB2312" w:hAnsi="Times New Roman" w:hint="eastAsia"/>
          <w:sz w:val="30"/>
          <w:szCs w:val="30"/>
        </w:rPr>
        <w:t>）</w:t>
      </w:r>
      <w:r>
        <w:rPr>
          <w:rFonts w:ascii="仿宋_GB2312" w:eastAsia="仿宋_GB2312" w:hAnsi="Times New Roman" w:hint="eastAsia"/>
          <w:sz w:val="30"/>
          <w:szCs w:val="30"/>
        </w:rPr>
        <w:t>精神</w:t>
      </w:r>
      <w:r w:rsidRPr="00BF4FD3">
        <w:rPr>
          <w:rFonts w:ascii="仿宋_GB2312" w:eastAsia="仿宋_GB2312" w:hAnsi="Times New Roman" w:cs="仿宋_GB2312" w:hint="eastAsia"/>
          <w:sz w:val="30"/>
          <w:szCs w:val="30"/>
        </w:rPr>
        <w:t>的一项制度改革。该项制度的基本逻辑是以基层审判经验的累积实现法官队伍的精英化、专业化。然而在初任法官基层入额制度的实施过程中，其制度实效能否达成预期设想，其制度逻辑是否完全成立，其价值权衡能否实现最大化，具体司法实践已经逐渐给出了答案。改革的稳妥性、有序性欠缺</w:t>
      </w:r>
      <w:r>
        <w:rPr>
          <w:rFonts w:ascii="仿宋_GB2312" w:eastAsia="仿宋_GB2312" w:hAnsi="Times New Roman" w:cs="仿宋_GB2312" w:hint="eastAsia"/>
          <w:sz w:val="30"/>
          <w:szCs w:val="30"/>
        </w:rPr>
        <w:t>，系统性、整体性、协同性均有不足，制度供给与客观实际的嵌合偏差以及</w:t>
      </w:r>
      <w:r w:rsidRPr="00BF4FD3">
        <w:rPr>
          <w:rFonts w:ascii="仿宋_GB2312" w:eastAsia="仿宋_GB2312" w:hAnsi="Times New Roman" w:cs="仿宋_GB2312" w:hint="eastAsia"/>
          <w:sz w:val="30"/>
          <w:szCs w:val="30"/>
        </w:rPr>
        <w:t>制度的实施效果异化等问题逐渐显现，法官精英化、专业化价值目标趋于落空。是故，本文试图以精英化、专业化为研究导向</w:t>
      </w:r>
      <w:r>
        <w:rPr>
          <w:rFonts w:ascii="仿宋_GB2312" w:eastAsia="仿宋_GB2312" w:hAnsi="Times New Roman" w:cs="仿宋_GB2312" w:hint="eastAsia"/>
          <w:sz w:val="30"/>
          <w:szCs w:val="30"/>
        </w:rPr>
        <w:t>，剖析初任法官基层入额制度的实效问题，探讨初任法官选任制度的完善</w:t>
      </w:r>
      <w:r w:rsidRPr="00BF4FD3">
        <w:rPr>
          <w:rFonts w:ascii="仿宋_GB2312" w:eastAsia="仿宋_GB2312" w:hAnsi="Times New Roman" w:cs="仿宋_GB2312" w:hint="eastAsia"/>
          <w:sz w:val="30"/>
          <w:szCs w:val="30"/>
        </w:rPr>
        <w:t>，以期为初任法官选任制度提供管窥之见。</w:t>
      </w:r>
    </w:p>
    <w:p w:rsidR="00372DA1" w:rsidRPr="00BF4FD3" w:rsidRDefault="00372DA1">
      <w:pPr>
        <w:ind w:firstLine="640"/>
        <w:rPr>
          <w:rFonts w:ascii="黑体" w:eastAsia="黑体" w:hAnsi="黑体" w:cs="黑体"/>
          <w:sz w:val="30"/>
          <w:szCs w:val="30"/>
        </w:rPr>
      </w:pPr>
      <w:r w:rsidRPr="00BF4FD3">
        <w:rPr>
          <w:rFonts w:ascii="黑体" w:eastAsia="黑体" w:hAnsi="黑体" w:cs="黑体" w:hint="eastAsia"/>
          <w:sz w:val="30"/>
          <w:szCs w:val="30"/>
        </w:rPr>
        <w:t>一、检视：实效现态研究</w:t>
      </w:r>
    </w:p>
    <w:p w:rsidR="00372DA1" w:rsidRPr="00BF4FD3" w:rsidRDefault="00372DA1">
      <w:pPr>
        <w:ind w:firstLine="640"/>
        <w:rPr>
          <w:rFonts w:ascii="楷体" w:eastAsia="楷体" w:hAnsi="楷体" w:cs="楷体"/>
          <w:bCs/>
          <w:sz w:val="30"/>
          <w:szCs w:val="30"/>
        </w:rPr>
      </w:pPr>
      <w:r w:rsidRPr="00BF4FD3">
        <w:rPr>
          <w:rFonts w:ascii="楷体" w:eastAsia="楷体" w:hAnsi="楷体" w:cs="楷体" w:hint="eastAsia"/>
          <w:bCs/>
          <w:sz w:val="30"/>
          <w:szCs w:val="30"/>
        </w:rPr>
        <w:t>（一）执行偏差</w:t>
      </w:r>
    </w:p>
    <w:p w:rsidR="00372DA1" w:rsidRPr="00D265D2" w:rsidRDefault="00372DA1">
      <w:pPr>
        <w:ind w:firstLine="640"/>
        <w:rPr>
          <w:rFonts w:ascii="仿宋_GB2312" w:eastAsia="仿宋_GB2312" w:hAnsi="宋体" w:cs="宋体"/>
          <w:kern w:val="0"/>
          <w:sz w:val="30"/>
          <w:szCs w:val="30"/>
        </w:rPr>
      </w:pPr>
      <w:r>
        <w:rPr>
          <w:rFonts w:ascii="仿宋" w:eastAsia="仿宋" w:hAnsi="仿宋" w:cs="仿宋_GB2312" w:hint="eastAsia"/>
          <w:sz w:val="28"/>
          <w:szCs w:val="28"/>
        </w:rPr>
        <w:t>执</w:t>
      </w:r>
      <w:r w:rsidRPr="00D265D2">
        <w:rPr>
          <w:rFonts w:ascii="仿宋_GB2312" w:eastAsia="仿宋_GB2312" w:hAnsi="宋体" w:cs="宋体" w:hint="eastAsia"/>
          <w:kern w:val="0"/>
          <w:sz w:val="30"/>
          <w:szCs w:val="30"/>
        </w:rPr>
        <w:t>行偏差，是指</w:t>
      </w:r>
      <w:r>
        <w:rPr>
          <w:rFonts w:ascii="仿宋_GB2312" w:eastAsia="仿宋_GB2312" w:hAnsi="宋体" w:cs="宋体" w:hint="eastAsia"/>
          <w:kern w:val="0"/>
          <w:sz w:val="30"/>
          <w:szCs w:val="30"/>
        </w:rPr>
        <w:t>初任法官基层入额</w:t>
      </w:r>
      <w:r w:rsidRPr="00D265D2">
        <w:rPr>
          <w:rFonts w:ascii="仿宋_GB2312" w:eastAsia="仿宋_GB2312" w:hAnsi="宋体" w:cs="宋体" w:hint="eastAsia"/>
          <w:kern w:val="0"/>
          <w:sz w:val="30"/>
          <w:szCs w:val="30"/>
        </w:rPr>
        <w:t>制度在执行过程中偏离了</w:t>
      </w:r>
      <w:r>
        <w:rPr>
          <w:rFonts w:ascii="仿宋_GB2312" w:eastAsia="仿宋_GB2312" w:hAnsi="宋体" w:cs="宋体" w:hint="eastAsia"/>
          <w:kern w:val="0"/>
          <w:sz w:val="30"/>
          <w:szCs w:val="30"/>
        </w:rPr>
        <w:t>法官精英化与专业化的预设目标</w:t>
      </w:r>
      <w:r w:rsidRPr="00D265D2">
        <w:rPr>
          <w:rFonts w:ascii="仿宋_GB2312" w:eastAsia="仿宋_GB2312" w:hAnsi="宋体" w:cs="宋体" w:hint="eastAsia"/>
          <w:kern w:val="0"/>
          <w:sz w:val="30"/>
          <w:szCs w:val="30"/>
        </w:rPr>
        <w:t>，遭受严重的执行阻却，产生巨</w:t>
      </w:r>
      <w:r w:rsidRPr="00D265D2">
        <w:rPr>
          <w:rFonts w:ascii="仿宋_GB2312" w:eastAsia="仿宋_GB2312" w:hAnsi="宋体" w:cs="宋体" w:hint="eastAsia"/>
          <w:kern w:val="0"/>
          <w:sz w:val="30"/>
          <w:szCs w:val="30"/>
        </w:rPr>
        <w:lastRenderedPageBreak/>
        <w:t>大的实效偏差。</w:t>
      </w:r>
      <w:r>
        <w:rPr>
          <w:rStyle w:val="aa"/>
          <w:rFonts w:ascii="仿宋_GB2312" w:eastAsia="仿宋_GB2312" w:hAnsi="宋体" w:hint="eastAsia"/>
          <w:kern w:val="0"/>
          <w:sz w:val="30"/>
          <w:szCs w:val="30"/>
        </w:rPr>
        <w:footnoteReference w:customMarkFollows="1" w:id="2"/>
        <w:t>（</w:t>
      </w:r>
      <w:r>
        <w:rPr>
          <w:rStyle w:val="aa"/>
          <w:rFonts w:ascii="仿宋_GB2312" w:eastAsia="仿宋_GB2312" w:hAnsi="宋体"/>
          <w:kern w:val="0"/>
          <w:sz w:val="30"/>
          <w:szCs w:val="30"/>
        </w:rPr>
        <w:t>2</w:t>
      </w:r>
      <w:r>
        <w:rPr>
          <w:rStyle w:val="aa"/>
          <w:rFonts w:ascii="仿宋_GB2312" w:eastAsia="仿宋_GB2312" w:hAnsi="宋体" w:hint="eastAsia"/>
          <w:kern w:val="0"/>
          <w:sz w:val="30"/>
          <w:szCs w:val="30"/>
        </w:rPr>
        <w:t>）</w:t>
      </w:r>
    </w:p>
    <w:p w:rsidR="00372DA1" w:rsidRPr="00D265D2" w:rsidRDefault="00372DA1" w:rsidP="00D52EEA">
      <w:pPr>
        <w:ind w:firstLine="640"/>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象征性执行。</w:t>
      </w:r>
      <w:r w:rsidRPr="00D265D2">
        <w:rPr>
          <w:rFonts w:ascii="仿宋_GB2312" w:eastAsia="仿宋_GB2312" w:hAnsi="宋体" w:cs="宋体" w:hint="eastAsia"/>
          <w:kern w:val="0"/>
          <w:sz w:val="30"/>
          <w:szCs w:val="30"/>
        </w:rPr>
        <w:t>基层入额制度的象征性执行典型表现为“阳奉阴违”，</w:t>
      </w:r>
      <w:r>
        <w:rPr>
          <w:rFonts w:ascii="仿宋_GB2312" w:eastAsia="仿宋_GB2312" w:hAnsi="宋体" w:cs="宋体" w:hint="eastAsia"/>
          <w:kern w:val="0"/>
          <w:sz w:val="30"/>
          <w:szCs w:val="30"/>
        </w:rPr>
        <w:t>执行者并不采取实施</w:t>
      </w:r>
      <w:r w:rsidRPr="00D265D2">
        <w:rPr>
          <w:rFonts w:ascii="仿宋_GB2312" w:eastAsia="仿宋_GB2312" w:hAnsi="宋体" w:cs="宋体" w:hint="eastAsia"/>
          <w:kern w:val="0"/>
          <w:sz w:val="30"/>
          <w:szCs w:val="30"/>
        </w:rPr>
        <w:t>措施，而是应付式地执行制度内容，执行成分基本为零。</w:t>
      </w:r>
      <w:r>
        <w:rPr>
          <w:rStyle w:val="aa"/>
          <w:rFonts w:ascii="仿宋_GB2312" w:eastAsia="仿宋_GB2312" w:hAnsi="宋体" w:hint="eastAsia"/>
          <w:kern w:val="0"/>
          <w:sz w:val="30"/>
          <w:szCs w:val="30"/>
        </w:rPr>
        <w:footnoteReference w:customMarkFollows="1" w:id="3"/>
        <w:t>（</w:t>
      </w:r>
      <w:r>
        <w:rPr>
          <w:rStyle w:val="aa"/>
          <w:rFonts w:ascii="仿宋_GB2312" w:eastAsia="仿宋_GB2312" w:hAnsi="宋体"/>
          <w:kern w:val="0"/>
          <w:sz w:val="30"/>
          <w:szCs w:val="30"/>
        </w:rPr>
        <w:t>3</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部分法院</w:t>
      </w:r>
      <w:r>
        <w:rPr>
          <w:rFonts w:ascii="仿宋_GB2312" w:eastAsia="仿宋_GB2312" w:hAnsi="宋体" w:cs="宋体" w:hint="eastAsia"/>
          <w:kern w:val="0"/>
          <w:sz w:val="30"/>
          <w:szCs w:val="30"/>
        </w:rPr>
        <w:t>存在严重的部门</w:t>
      </w:r>
      <w:r w:rsidRPr="00D265D2">
        <w:rPr>
          <w:rFonts w:ascii="仿宋_GB2312" w:eastAsia="仿宋_GB2312" w:hAnsi="宋体" w:cs="宋体" w:hint="eastAsia"/>
          <w:kern w:val="0"/>
          <w:sz w:val="30"/>
          <w:szCs w:val="30"/>
        </w:rPr>
        <w:t>本位主义，与法官助理强烈的本级入额期望一拍即合，衍生出初任法官基层入额制度的象征性执行的有限理性。正如</w:t>
      </w:r>
      <w:r w:rsidRPr="00D265D2">
        <w:rPr>
          <w:rFonts w:ascii="仿宋_GB2312" w:eastAsia="仿宋_GB2312" w:hAnsi="宋体" w:cs="宋体"/>
          <w:kern w:val="0"/>
          <w:sz w:val="30"/>
          <w:szCs w:val="30"/>
        </w:rPr>
        <w:t>H</w:t>
      </w:r>
      <w:r w:rsidRPr="00D265D2">
        <w:rPr>
          <w:rFonts w:ascii="仿宋_GB2312" w:eastAsia="仿宋_GB2312" w:hAnsi="宋体" w:cs="宋体" w:hint="eastAsia"/>
          <w:kern w:val="0"/>
          <w:sz w:val="30"/>
          <w:szCs w:val="30"/>
        </w:rPr>
        <w:t>省</w:t>
      </w:r>
      <w:r w:rsidRPr="00D265D2">
        <w:rPr>
          <w:rFonts w:ascii="仿宋_GB2312" w:eastAsia="仿宋_GB2312" w:hAnsi="宋体" w:cs="宋体"/>
          <w:kern w:val="0"/>
          <w:sz w:val="30"/>
          <w:szCs w:val="30"/>
        </w:rPr>
        <w:t>2017</w:t>
      </w:r>
      <w:r>
        <w:rPr>
          <w:rFonts w:ascii="仿宋_GB2312" w:eastAsia="仿宋_GB2312" w:hAnsi="宋体" w:cs="宋体" w:hint="eastAsia"/>
          <w:kern w:val="0"/>
          <w:sz w:val="30"/>
          <w:szCs w:val="30"/>
        </w:rPr>
        <w:t>年开展</w:t>
      </w:r>
      <w:r w:rsidRPr="00D265D2">
        <w:rPr>
          <w:rFonts w:ascii="仿宋_GB2312" w:eastAsia="仿宋_GB2312" w:hAnsi="宋体" w:cs="宋体" w:hint="eastAsia"/>
          <w:kern w:val="0"/>
          <w:sz w:val="30"/>
          <w:szCs w:val="30"/>
        </w:rPr>
        <w:t>的初任法官选任工作，依旧采取的是在本级法院入额的模式，初任法官在现任职法院就地入额。事实上，象征性执行正是大多数法院对基层入额制度的真实写照与现实选择。</w:t>
      </w:r>
    </w:p>
    <w:p w:rsidR="00372DA1" w:rsidRPr="00D265D2" w:rsidRDefault="00372DA1" w:rsidP="002A4D10">
      <w:pPr>
        <w:ind w:firstLine="640"/>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选择性执行。</w:t>
      </w:r>
      <w:r>
        <w:rPr>
          <w:rFonts w:ascii="仿宋_GB2312" w:eastAsia="仿宋_GB2312" w:hAnsi="宋体" w:cs="宋体" w:hint="eastAsia"/>
          <w:kern w:val="0"/>
          <w:sz w:val="30"/>
          <w:szCs w:val="30"/>
        </w:rPr>
        <w:t>初任法官基层入额制度的选择性执行典型表现为“断章取义”，选择性执行</w:t>
      </w:r>
      <w:r w:rsidRPr="00D265D2">
        <w:rPr>
          <w:rFonts w:ascii="仿宋_GB2312" w:eastAsia="仿宋_GB2312" w:hAnsi="宋体" w:cs="宋体" w:hint="eastAsia"/>
          <w:kern w:val="0"/>
          <w:sz w:val="30"/>
          <w:szCs w:val="30"/>
        </w:rPr>
        <w:t>基层入额制度，导致出现制度的钝化效应。</w:t>
      </w:r>
      <w:r>
        <w:rPr>
          <w:rStyle w:val="aa"/>
          <w:rFonts w:ascii="仿宋_GB2312" w:eastAsia="仿宋_GB2312" w:hAnsi="宋体" w:hint="eastAsia"/>
          <w:kern w:val="0"/>
          <w:sz w:val="30"/>
          <w:szCs w:val="30"/>
        </w:rPr>
        <w:footnoteReference w:customMarkFollows="1" w:id="4"/>
        <w:t>（</w:t>
      </w:r>
      <w:r>
        <w:rPr>
          <w:rStyle w:val="aa"/>
          <w:rFonts w:ascii="仿宋_GB2312" w:eastAsia="仿宋_GB2312" w:hAnsi="宋体"/>
          <w:kern w:val="0"/>
          <w:sz w:val="30"/>
          <w:szCs w:val="30"/>
        </w:rPr>
        <w:t>4</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在委托</w:t>
      </w:r>
      <w:r w:rsidRPr="00D265D2">
        <w:rPr>
          <w:rFonts w:ascii="仿宋_GB2312" w:eastAsia="仿宋_GB2312" w:hAnsi="宋体" w:cs="宋体"/>
          <w:kern w:val="0"/>
          <w:sz w:val="30"/>
          <w:szCs w:val="30"/>
        </w:rPr>
        <w:t>——</w:t>
      </w:r>
      <w:r>
        <w:rPr>
          <w:rFonts w:ascii="仿宋_GB2312" w:eastAsia="仿宋_GB2312" w:hAnsi="宋体" w:cs="宋体" w:hint="eastAsia"/>
          <w:kern w:val="0"/>
          <w:sz w:val="30"/>
          <w:szCs w:val="30"/>
        </w:rPr>
        <w:t>代理关系模式下，下级</w:t>
      </w:r>
      <w:r w:rsidRPr="00D265D2">
        <w:rPr>
          <w:rFonts w:ascii="仿宋_GB2312" w:eastAsia="仿宋_GB2312" w:hAnsi="宋体" w:cs="宋体" w:hint="eastAsia"/>
          <w:kern w:val="0"/>
          <w:sz w:val="30"/>
          <w:szCs w:val="30"/>
        </w:rPr>
        <w:t>组织</w:t>
      </w:r>
      <w:r>
        <w:rPr>
          <w:rFonts w:ascii="仿宋_GB2312" w:eastAsia="仿宋_GB2312" w:hAnsi="宋体" w:cs="宋体" w:hint="eastAsia"/>
          <w:kern w:val="0"/>
          <w:sz w:val="30"/>
          <w:szCs w:val="30"/>
        </w:rPr>
        <w:t>及成员</w:t>
      </w:r>
      <w:r w:rsidRPr="00D265D2">
        <w:rPr>
          <w:rFonts w:ascii="仿宋_GB2312" w:eastAsia="仿宋_GB2312" w:hAnsi="宋体" w:cs="宋体" w:hint="eastAsia"/>
          <w:kern w:val="0"/>
          <w:sz w:val="30"/>
          <w:szCs w:val="30"/>
        </w:rPr>
        <w:t>可能会</w:t>
      </w:r>
      <w:r>
        <w:rPr>
          <w:rFonts w:ascii="仿宋_GB2312" w:eastAsia="仿宋_GB2312" w:hAnsi="宋体" w:cs="宋体" w:hint="eastAsia"/>
          <w:kern w:val="0"/>
          <w:sz w:val="30"/>
          <w:szCs w:val="30"/>
        </w:rPr>
        <w:t>为了</w:t>
      </w:r>
      <w:r w:rsidRPr="00D265D2">
        <w:rPr>
          <w:rFonts w:ascii="仿宋_GB2312" w:eastAsia="仿宋_GB2312" w:hAnsi="宋体" w:cs="宋体" w:hint="eastAsia"/>
          <w:kern w:val="0"/>
          <w:sz w:val="30"/>
          <w:szCs w:val="30"/>
        </w:rPr>
        <w:t>满足自身偏好，进而发展出迥异于上级的目标与机会主义行为。</w:t>
      </w:r>
      <w:r>
        <w:rPr>
          <w:rStyle w:val="aa"/>
          <w:rFonts w:ascii="仿宋_GB2312" w:eastAsia="仿宋_GB2312" w:hAnsi="宋体" w:hint="eastAsia"/>
          <w:kern w:val="0"/>
          <w:sz w:val="30"/>
          <w:szCs w:val="30"/>
        </w:rPr>
        <w:footnoteReference w:customMarkFollows="1" w:id="5"/>
        <w:t>（</w:t>
      </w:r>
      <w:r>
        <w:rPr>
          <w:rStyle w:val="aa"/>
          <w:rFonts w:ascii="仿宋_GB2312" w:eastAsia="仿宋_GB2312" w:hAnsi="宋体"/>
          <w:kern w:val="0"/>
          <w:sz w:val="30"/>
          <w:szCs w:val="30"/>
        </w:rPr>
        <w:t>5</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在我国法院系统，“这些问题由于其巨大规模、复杂结构</w:t>
      </w:r>
      <w:r w:rsidRPr="00D265D2">
        <w:rPr>
          <w:rFonts w:ascii="仿宋_GB2312" w:eastAsia="仿宋_GB2312" w:hAnsi="宋体" w:cs="宋体" w:hint="eastAsia"/>
          <w:kern w:val="0"/>
          <w:sz w:val="30"/>
          <w:szCs w:val="30"/>
        </w:rPr>
        <w:t>和制衡机制的缺失而被放大和加剧”</w:t>
      </w:r>
      <w:r>
        <w:rPr>
          <w:rFonts w:ascii="仿宋_GB2312" w:eastAsia="仿宋_GB2312" w:hAnsi="宋体" w:cs="宋体" w:hint="eastAsia"/>
          <w:kern w:val="0"/>
          <w:sz w:val="30"/>
          <w:szCs w:val="30"/>
        </w:rPr>
        <w:t>。</w:t>
      </w:r>
      <w:r>
        <w:rPr>
          <w:rStyle w:val="aa"/>
          <w:rFonts w:ascii="仿宋_GB2312" w:eastAsia="仿宋_GB2312" w:hAnsi="宋体" w:hint="eastAsia"/>
          <w:kern w:val="0"/>
          <w:sz w:val="30"/>
          <w:szCs w:val="30"/>
        </w:rPr>
        <w:footnoteReference w:customMarkFollows="1" w:id="6"/>
        <w:t>（</w:t>
      </w:r>
      <w:r>
        <w:rPr>
          <w:rStyle w:val="aa"/>
          <w:rFonts w:ascii="仿宋_GB2312" w:eastAsia="仿宋_GB2312" w:hAnsi="宋体"/>
          <w:kern w:val="0"/>
          <w:sz w:val="30"/>
          <w:szCs w:val="30"/>
        </w:rPr>
        <w:t>6</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大多数法院采取选择性执行的方式</w:t>
      </w:r>
      <w:r>
        <w:rPr>
          <w:rFonts w:ascii="仿宋_GB2312" w:eastAsia="仿宋_GB2312" w:hAnsi="宋体" w:cs="宋体" w:hint="eastAsia"/>
          <w:kern w:val="0"/>
          <w:sz w:val="30"/>
          <w:szCs w:val="30"/>
        </w:rPr>
        <w:t>应对基层入额制度，以本级法院的部门利益以及院领导的主观意愿为</w:t>
      </w:r>
      <w:r w:rsidRPr="00D265D2">
        <w:rPr>
          <w:rFonts w:ascii="仿宋_GB2312" w:eastAsia="仿宋_GB2312" w:hAnsi="宋体" w:cs="宋体" w:hint="eastAsia"/>
          <w:kern w:val="0"/>
          <w:sz w:val="30"/>
          <w:szCs w:val="30"/>
        </w:rPr>
        <w:t>行为选择的主要考虑因素，严重削弱制度的实效性。</w:t>
      </w:r>
    </w:p>
    <w:p w:rsidR="00372DA1" w:rsidRPr="00D265D2" w:rsidRDefault="00372DA1" w:rsidP="00792FBE">
      <w:pPr>
        <w:ind w:firstLine="640"/>
        <w:rPr>
          <w:rFonts w:ascii="仿宋_GB2312" w:eastAsia="仿宋_GB2312" w:hAnsi="宋体" w:cs="宋体"/>
          <w:kern w:val="0"/>
          <w:sz w:val="30"/>
          <w:szCs w:val="30"/>
        </w:rPr>
      </w:pPr>
      <w:r w:rsidRPr="00230AD7">
        <w:rPr>
          <w:rFonts w:ascii="仿宋_GB2312" w:eastAsia="仿宋_GB2312" w:hAnsi="宋体" w:cs="宋体"/>
          <w:b/>
          <w:kern w:val="0"/>
          <w:sz w:val="30"/>
          <w:szCs w:val="30"/>
        </w:rPr>
        <w:t>3.</w:t>
      </w:r>
      <w:r w:rsidRPr="00230AD7">
        <w:rPr>
          <w:rFonts w:ascii="仿宋_GB2312" w:eastAsia="仿宋_GB2312" w:hAnsi="宋体" w:cs="宋体" w:hint="eastAsia"/>
          <w:b/>
          <w:kern w:val="0"/>
          <w:sz w:val="30"/>
          <w:szCs w:val="30"/>
        </w:rPr>
        <w:t>替换式执行。</w:t>
      </w:r>
      <w:r w:rsidRPr="00D265D2">
        <w:rPr>
          <w:rFonts w:ascii="仿宋_GB2312" w:eastAsia="仿宋_GB2312" w:hAnsi="宋体" w:cs="宋体" w:hint="eastAsia"/>
          <w:kern w:val="0"/>
          <w:sz w:val="30"/>
          <w:szCs w:val="30"/>
        </w:rPr>
        <w:t>初任法官基层入额制度的替换式执行典型表</w:t>
      </w:r>
      <w:r w:rsidRPr="00D265D2">
        <w:rPr>
          <w:rFonts w:ascii="仿宋_GB2312" w:eastAsia="仿宋_GB2312" w:hAnsi="宋体" w:cs="宋体" w:hint="eastAsia"/>
          <w:kern w:val="0"/>
          <w:sz w:val="30"/>
          <w:szCs w:val="30"/>
        </w:rPr>
        <w:lastRenderedPageBreak/>
        <w:t>现为“上有政策</w:t>
      </w:r>
      <w:r w:rsidRPr="00D265D2">
        <w:rPr>
          <w:rFonts w:ascii="仿宋_GB2312" w:eastAsia="仿宋_GB2312" w:hAnsi="宋体" w:cs="宋体"/>
          <w:kern w:val="0"/>
          <w:sz w:val="30"/>
          <w:szCs w:val="30"/>
        </w:rPr>
        <w:t>,</w:t>
      </w:r>
      <w:r w:rsidRPr="00D265D2">
        <w:rPr>
          <w:rFonts w:ascii="仿宋_GB2312" w:eastAsia="仿宋_GB2312" w:hAnsi="宋体" w:cs="宋体" w:hint="eastAsia"/>
          <w:kern w:val="0"/>
          <w:sz w:val="30"/>
          <w:szCs w:val="30"/>
        </w:rPr>
        <w:t>下有对策”</w:t>
      </w:r>
      <w:r>
        <w:rPr>
          <w:rFonts w:ascii="仿宋_GB2312" w:eastAsia="仿宋_GB2312" w:hAnsi="宋体" w:cs="宋体" w:hint="eastAsia"/>
          <w:kern w:val="0"/>
          <w:sz w:val="30"/>
          <w:szCs w:val="30"/>
        </w:rPr>
        <w:t>，</w:t>
      </w:r>
      <w:r w:rsidRPr="00D265D2">
        <w:rPr>
          <w:rFonts w:ascii="仿宋_GB2312" w:eastAsia="仿宋_GB2312" w:hAnsi="宋体" w:cs="宋体" w:hint="eastAsia"/>
          <w:kern w:val="0"/>
          <w:sz w:val="30"/>
          <w:szCs w:val="30"/>
        </w:rPr>
        <w:t>制度执行者</w:t>
      </w:r>
      <w:r>
        <w:rPr>
          <w:rFonts w:ascii="仿宋_GB2312" w:eastAsia="仿宋_GB2312" w:hAnsi="宋体" w:cs="宋体" w:hint="eastAsia"/>
          <w:kern w:val="0"/>
          <w:sz w:val="30"/>
          <w:szCs w:val="30"/>
        </w:rPr>
        <w:t>进行部分或者全部替换，制定“变通”执行措施。</w:t>
      </w:r>
      <w:r w:rsidRPr="00D265D2">
        <w:rPr>
          <w:rFonts w:ascii="仿宋_GB2312" w:eastAsia="仿宋_GB2312" w:hAnsi="宋体" w:cs="宋体" w:hint="eastAsia"/>
          <w:kern w:val="0"/>
          <w:sz w:val="30"/>
          <w:szCs w:val="30"/>
        </w:rPr>
        <w:t>有的法院规定初任法官在基层法院入额但保留组织人事关系在原任职法院，有的法院规定在基层入额的初任法官两年后即可优先遴选回到原任职法院，有的法院名义上规定初任法官在基层入额但通过借调等方式将其留在现级法院任职等等，以此替换方式达到表面执行、实际背离基层入额制度的目的。</w:t>
      </w:r>
    </w:p>
    <w:p w:rsidR="00372DA1" w:rsidRPr="00D265D2" w:rsidRDefault="00E73F76" w:rsidP="003615F5">
      <w:pPr>
        <w:ind w:firstLine="640"/>
        <w:rPr>
          <w:rFonts w:ascii="仿宋_GB2312" w:eastAsia="仿宋_GB2312" w:hAnsi="宋体" w:cs="宋体"/>
          <w:kern w:val="0"/>
          <w:sz w:val="30"/>
          <w:szCs w:val="30"/>
        </w:rPr>
      </w:pPr>
      <w:r w:rsidRPr="00E73F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2pt;margin-top:312.15pt;width:483.65pt;height:126.9pt;z-index:1;mso-position-horizontal-relative:margin;mso-position-vertical-relative:margin">
            <v:imagedata r:id="rId7" o:title=""/>
            <w10:wrap type="square" anchorx="margin" anchory="margin"/>
          </v:shape>
        </w:pict>
      </w:r>
      <w:r w:rsidR="00372DA1" w:rsidRPr="00230AD7">
        <w:rPr>
          <w:rFonts w:ascii="仿宋_GB2312" w:eastAsia="仿宋_GB2312" w:hAnsi="宋体" w:cs="宋体"/>
          <w:b/>
          <w:kern w:val="0"/>
          <w:sz w:val="30"/>
          <w:szCs w:val="30"/>
        </w:rPr>
        <w:t>4.</w:t>
      </w:r>
      <w:r w:rsidR="00372DA1" w:rsidRPr="00230AD7">
        <w:rPr>
          <w:rFonts w:ascii="仿宋_GB2312" w:eastAsia="仿宋_GB2312" w:hAnsi="宋体" w:cs="宋体" w:hint="eastAsia"/>
          <w:b/>
          <w:kern w:val="0"/>
          <w:sz w:val="30"/>
          <w:szCs w:val="30"/>
        </w:rPr>
        <w:t>观望式执行。</w:t>
      </w:r>
      <w:r w:rsidR="00372DA1" w:rsidRPr="00D265D2">
        <w:rPr>
          <w:rFonts w:ascii="仿宋_GB2312" w:eastAsia="仿宋_GB2312" w:hAnsi="宋体" w:cs="宋体" w:hint="eastAsia"/>
          <w:kern w:val="0"/>
          <w:sz w:val="30"/>
          <w:szCs w:val="30"/>
        </w:rPr>
        <w:t>初任法官基层入额制度的观</w:t>
      </w:r>
      <w:r w:rsidR="00372DA1">
        <w:rPr>
          <w:rFonts w:ascii="仿宋_GB2312" w:eastAsia="仿宋_GB2312" w:hAnsi="宋体" w:cs="宋体" w:hint="eastAsia"/>
          <w:kern w:val="0"/>
          <w:sz w:val="30"/>
          <w:szCs w:val="30"/>
        </w:rPr>
        <w:t>望式执行典型表现为“左顾右盼”，绝大部分法院都在制度</w:t>
      </w:r>
      <w:r w:rsidR="00372DA1" w:rsidRPr="00D265D2">
        <w:rPr>
          <w:rFonts w:ascii="仿宋_GB2312" w:eastAsia="仿宋_GB2312" w:hAnsi="宋体" w:cs="宋体" w:hint="eastAsia"/>
          <w:kern w:val="0"/>
          <w:sz w:val="30"/>
          <w:szCs w:val="30"/>
        </w:rPr>
        <w:t>的变动以及其他法院的执行情况。自《人民法院第四个五年改革纲要（</w:t>
      </w:r>
      <w:r w:rsidR="00372DA1" w:rsidRPr="00D265D2">
        <w:rPr>
          <w:rFonts w:ascii="仿宋_GB2312" w:eastAsia="仿宋_GB2312" w:hAnsi="宋体" w:cs="宋体"/>
          <w:kern w:val="0"/>
          <w:sz w:val="30"/>
          <w:szCs w:val="30"/>
        </w:rPr>
        <w:t>2014-2018</w:t>
      </w:r>
      <w:r w:rsidR="00372DA1" w:rsidRPr="00D265D2">
        <w:rPr>
          <w:rFonts w:ascii="仿宋_GB2312" w:eastAsia="仿宋_GB2312" w:hAnsi="宋体" w:cs="宋体" w:hint="eastAsia"/>
          <w:kern w:val="0"/>
          <w:sz w:val="30"/>
          <w:szCs w:val="30"/>
        </w:rPr>
        <w:t>）》颁布实施至今，</w:t>
      </w:r>
      <w:r w:rsidR="00372DA1">
        <w:rPr>
          <w:rFonts w:ascii="仿宋_GB2312" w:eastAsia="仿宋_GB2312" w:hAnsi="宋体" w:cs="宋体" w:hint="eastAsia"/>
          <w:kern w:val="0"/>
          <w:sz w:val="30"/>
          <w:szCs w:val="30"/>
        </w:rPr>
        <w:t>也即初任法官基层入额制度提出以来，</w:t>
      </w:r>
      <w:r w:rsidR="00372DA1" w:rsidRPr="00D265D2">
        <w:rPr>
          <w:rFonts w:ascii="仿宋_GB2312" w:eastAsia="仿宋_GB2312" w:hAnsi="宋体" w:cs="宋体" w:hint="eastAsia"/>
          <w:kern w:val="0"/>
          <w:sz w:val="30"/>
          <w:szCs w:val="30"/>
        </w:rPr>
        <w:t>全国范围内仅有上海地区法院启动了初任法官选任工作，而其他地区仍然处于观望中，初任法官选任工作事实上存在搁置的状态。</w:t>
      </w:r>
    </w:p>
    <w:p w:rsidR="00372DA1" w:rsidRPr="00230AD7" w:rsidRDefault="00372DA1">
      <w:pPr>
        <w:ind w:firstLine="640"/>
        <w:rPr>
          <w:rFonts w:ascii="楷体" w:eastAsia="楷体" w:hAnsi="楷体" w:cs="宋体"/>
          <w:kern w:val="0"/>
          <w:sz w:val="30"/>
          <w:szCs w:val="30"/>
        </w:rPr>
      </w:pPr>
      <w:r w:rsidRPr="00230AD7">
        <w:rPr>
          <w:rFonts w:ascii="楷体" w:eastAsia="楷体" w:hAnsi="楷体" w:cs="宋体" w:hint="eastAsia"/>
          <w:kern w:val="0"/>
          <w:sz w:val="30"/>
          <w:szCs w:val="30"/>
        </w:rPr>
        <w:t>（二）适用排除</w:t>
      </w:r>
    </w:p>
    <w:p w:rsidR="00372DA1" w:rsidRPr="00D265D2" w:rsidRDefault="00372DA1">
      <w:pPr>
        <w:ind w:firstLine="640"/>
        <w:rPr>
          <w:rFonts w:ascii="仿宋_GB2312" w:eastAsia="仿宋_GB2312" w:hAnsi="宋体" w:cs="宋体"/>
          <w:kern w:val="0"/>
          <w:sz w:val="30"/>
          <w:szCs w:val="30"/>
        </w:rPr>
      </w:pPr>
      <w:r>
        <w:rPr>
          <w:rFonts w:ascii="仿宋_GB2312" w:eastAsia="仿宋_GB2312" w:hAnsi="宋体" w:cs="宋体" w:hint="eastAsia"/>
          <w:kern w:val="0"/>
          <w:sz w:val="30"/>
          <w:szCs w:val="30"/>
        </w:rPr>
        <w:t>适用排除，是指基层入额制度在具体落实中，基于种</w:t>
      </w:r>
      <w:r w:rsidRPr="00D265D2">
        <w:rPr>
          <w:rFonts w:ascii="仿宋_GB2312" w:eastAsia="仿宋_GB2312" w:hAnsi="宋体" w:cs="宋体" w:hint="eastAsia"/>
          <w:kern w:val="0"/>
          <w:sz w:val="30"/>
          <w:szCs w:val="30"/>
        </w:rPr>
        <w:t>种原因被空置，成为“纸面上的制度”</w:t>
      </w:r>
      <w:r>
        <w:rPr>
          <w:rStyle w:val="aa"/>
          <w:rFonts w:ascii="仿宋_GB2312" w:eastAsia="仿宋_GB2312" w:hAnsi="宋体" w:hint="eastAsia"/>
          <w:kern w:val="0"/>
          <w:sz w:val="30"/>
          <w:szCs w:val="30"/>
        </w:rPr>
        <w:footnoteReference w:customMarkFollows="1" w:id="7"/>
        <w:t>（</w:t>
      </w:r>
      <w:r>
        <w:rPr>
          <w:rStyle w:val="aa"/>
          <w:rFonts w:ascii="仿宋_GB2312" w:eastAsia="仿宋_GB2312" w:hAnsi="宋体"/>
          <w:kern w:val="0"/>
          <w:sz w:val="30"/>
          <w:szCs w:val="30"/>
        </w:rPr>
        <w:t>7</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，未能发挥制度应有的实效。</w:t>
      </w:r>
    </w:p>
    <w:p w:rsidR="00372DA1" w:rsidRPr="00D265D2" w:rsidRDefault="00372DA1" w:rsidP="00950824">
      <w:pPr>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无差别适用与各级法院职能定位的冲突。</w:t>
      </w:r>
      <w:r w:rsidRPr="00D265D2">
        <w:rPr>
          <w:rFonts w:ascii="仿宋_GB2312" w:eastAsia="仿宋_GB2312" w:hAnsi="宋体" w:cs="宋体" w:hint="eastAsia"/>
          <w:kern w:val="0"/>
          <w:sz w:val="30"/>
          <w:szCs w:val="30"/>
        </w:rPr>
        <w:t>目前，我国四级</w:t>
      </w:r>
      <w:r w:rsidRPr="00D265D2">
        <w:rPr>
          <w:rFonts w:ascii="仿宋_GB2312" w:eastAsia="仿宋_GB2312" w:hAnsi="宋体" w:cs="宋体" w:hint="eastAsia"/>
          <w:kern w:val="0"/>
          <w:sz w:val="30"/>
          <w:szCs w:val="30"/>
        </w:rPr>
        <w:lastRenderedPageBreak/>
        <w:t>法院组织体系</w:t>
      </w:r>
      <w:r>
        <w:rPr>
          <w:rFonts w:ascii="仿宋_GB2312" w:eastAsia="仿宋_GB2312" w:hAnsi="宋体" w:cs="宋体" w:hint="eastAsia"/>
          <w:kern w:val="0"/>
          <w:sz w:val="30"/>
          <w:szCs w:val="30"/>
        </w:rPr>
        <w:t>以及</w:t>
      </w:r>
      <w:r w:rsidRPr="00D265D2">
        <w:rPr>
          <w:rFonts w:ascii="仿宋_GB2312" w:eastAsia="仿宋_GB2312" w:hAnsi="宋体" w:cs="宋体" w:hint="eastAsia"/>
          <w:kern w:val="0"/>
          <w:sz w:val="30"/>
          <w:szCs w:val="30"/>
        </w:rPr>
        <w:t>专门法院的主要职能定位不尽相同</w:t>
      </w:r>
      <w:r>
        <w:rPr>
          <w:rFonts w:ascii="仿宋_GB2312" w:eastAsia="仿宋_GB2312" w:hAnsi="宋体" w:cs="宋体" w:hint="eastAsia"/>
          <w:kern w:val="0"/>
          <w:sz w:val="30"/>
          <w:szCs w:val="30"/>
        </w:rPr>
        <w:t>。在多级组织体系与差别化职能定位的前提</w:t>
      </w:r>
      <w:r w:rsidRPr="00D265D2">
        <w:rPr>
          <w:rFonts w:ascii="仿宋_GB2312" w:eastAsia="仿宋_GB2312" w:hAnsi="宋体" w:cs="宋体" w:hint="eastAsia"/>
          <w:kern w:val="0"/>
          <w:sz w:val="30"/>
          <w:szCs w:val="30"/>
        </w:rPr>
        <w:t>下，初任法官基层入额制度无法充分嵌合不同层级法院的差异性与制度诉求，制度供给与不同层级法院的法官选任的导向与需求之间存在嵌合偏差。</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以中级法院与基层法院两个场域的</w:t>
      </w:r>
      <w:r>
        <w:rPr>
          <w:rFonts w:ascii="仿宋_GB2312" w:eastAsia="仿宋_GB2312" w:hAnsi="宋体" w:cs="宋体" w:hint="eastAsia"/>
          <w:kern w:val="0"/>
          <w:sz w:val="30"/>
          <w:szCs w:val="30"/>
        </w:rPr>
        <w:t>初任</w:t>
      </w:r>
      <w:r w:rsidRPr="00D265D2">
        <w:rPr>
          <w:rFonts w:ascii="仿宋_GB2312" w:eastAsia="仿宋_GB2312" w:hAnsi="宋体" w:cs="宋体" w:hint="eastAsia"/>
          <w:kern w:val="0"/>
          <w:sz w:val="30"/>
          <w:szCs w:val="30"/>
        </w:rPr>
        <w:t>法官选任为例，中级法院培养的法官助理，可能并不适应基层法院以审理案件为主的主要职能要求；而基层法院培养的法官，也可能事实上并不能适应中级法院兼顾案件审理与指导审判活动的职能定位。以此类推至各级法院，</w:t>
      </w:r>
      <w:r>
        <w:rPr>
          <w:rFonts w:ascii="仿宋_GB2312" w:eastAsia="仿宋_GB2312" w:hAnsi="宋体" w:cs="宋体" w:hint="eastAsia"/>
          <w:kern w:val="0"/>
          <w:sz w:val="30"/>
          <w:szCs w:val="30"/>
        </w:rPr>
        <w:t>可以发现</w:t>
      </w:r>
      <w:r w:rsidRPr="00D265D2">
        <w:rPr>
          <w:rFonts w:ascii="仿宋_GB2312" w:eastAsia="仿宋_GB2312" w:hAnsi="宋体" w:cs="宋体" w:hint="eastAsia"/>
          <w:kern w:val="0"/>
          <w:sz w:val="30"/>
          <w:szCs w:val="30"/>
        </w:rPr>
        <w:t>初任法官基层入额制度不能无差别地简单适用于全国范围内所有层级的法院</w:t>
      </w:r>
      <w:r>
        <w:rPr>
          <w:rFonts w:ascii="仿宋_GB2312" w:eastAsia="仿宋_GB2312" w:hAnsi="宋体" w:cs="宋体" w:hint="eastAsia"/>
          <w:kern w:val="0"/>
          <w:sz w:val="30"/>
          <w:szCs w:val="30"/>
        </w:rPr>
        <w:t>，否则将产生“水土不服”的后果</w:t>
      </w:r>
      <w:r w:rsidRPr="00D265D2">
        <w:rPr>
          <w:rFonts w:ascii="仿宋_GB2312" w:eastAsia="仿宋_GB2312" w:hAnsi="宋体" w:cs="宋体" w:hint="eastAsia"/>
          <w:kern w:val="0"/>
          <w:sz w:val="30"/>
          <w:szCs w:val="30"/>
        </w:rPr>
        <w:t>。</w:t>
      </w:r>
    </w:p>
    <w:p w:rsidR="00372DA1" w:rsidRPr="00D265D2" w:rsidRDefault="00372DA1" w:rsidP="00950824">
      <w:pPr>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“一刀切”模式与不均衡发展的现实国情的冲突。</w:t>
      </w:r>
      <w:r w:rsidRPr="00D265D2">
        <w:rPr>
          <w:rFonts w:ascii="仿宋_GB2312" w:eastAsia="仿宋_GB2312" w:hAnsi="宋体" w:cs="宋体" w:hint="eastAsia"/>
          <w:kern w:val="0"/>
          <w:sz w:val="30"/>
          <w:szCs w:val="30"/>
        </w:rPr>
        <w:t>我国幅员辽阔，各区域发展差异甚大。经济基础决定上层建筑，不均衡的经济发展现状决定了不同地区</w:t>
      </w:r>
      <w:r>
        <w:rPr>
          <w:rFonts w:ascii="仿宋_GB2312" w:eastAsia="仿宋_GB2312" w:hAnsi="宋体" w:cs="宋体" w:hint="eastAsia"/>
          <w:kern w:val="0"/>
          <w:sz w:val="30"/>
          <w:szCs w:val="30"/>
        </w:rPr>
        <w:t>法院</w:t>
      </w:r>
      <w:r w:rsidRPr="00D265D2">
        <w:rPr>
          <w:rFonts w:ascii="仿宋_GB2312" w:eastAsia="仿宋_GB2312" w:hAnsi="宋体" w:cs="宋体" w:hint="eastAsia"/>
          <w:kern w:val="0"/>
          <w:sz w:val="30"/>
          <w:szCs w:val="30"/>
        </w:rPr>
        <w:t>接受司法体制改革的政治意识、经济条件、文化环境、历史观念等方面存在较大差距</w:t>
      </w:r>
      <w:r>
        <w:rPr>
          <w:rFonts w:ascii="仿宋_GB2312" w:eastAsia="仿宋_GB2312" w:hAnsi="宋体" w:cs="宋体" w:hint="eastAsia"/>
          <w:kern w:val="0"/>
          <w:sz w:val="30"/>
          <w:szCs w:val="30"/>
        </w:rPr>
        <w:t>，</w:t>
      </w:r>
      <w:r>
        <w:rPr>
          <w:rStyle w:val="aa"/>
          <w:rFonts w:ascii="仿宋_GB2312" w:eastAsia="仿宋_GB2312" w:hAnsi="宋体" w:hint="eastAsia"/>
          <w:kern w:val="0"/>
          <w:sz w:val="30"/>
          <w:szCs w:val="30"/>
        </w:rPr>
        <w:footnoteReference w:customMarkFollows="1" w:id="8"/>
        <w:t>（</w:t>
      </w:r>
      <w:r>
        <w:rPr>
          <w:rStyle w:val="aa"/>
          <w:rFonts w:ascii="仿宋_GB2312" w:eastAsia="仿宋_GB2312" w:hAnsi="宋体"/>
          <w:kern w:val="0"/>
          <w:sz w:val="30"/>
          <w:szCs w:val="30"/>
        </w:rPr>
        <w:t>8</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导致其对初任法官基层入额制度的理解力、适应度、承受力也大有差别。</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发展不均衡的</w:t>
      </w:r>
      <w:r>
        <w:rPr>
          <w:rFonts w:ascii="仿宋_GB2312" w:eastAsia="仿宋_GB2312" w:hAnsi="宋体" w:cs="宋体" w:hint="eastAsia"/>
          <w:kern w:val="0"/>
          <w:sz w:val="30"/>
          <w:szCs w:val="30"/>
        </w:rPr>
        <w:t>复杂</w:t>
      </w:r>
      <w:r w:rsidRPr="00D265D2">
        <w:rPr>
          <w:rFonts w:ascii="仿宋_GB2312" w:eastAsia="仿宋_GB2312" w:hAnsi="宋体" w:cs="宋体" w:hint="eastAsia"/>
          <w:kern w:val="0"/>
          <w:sz w:val="30"/>
          <w:szCs w:val="30"/>
        </w:rPr>
        <w:t>现实国情，决定了初任法官基层入额不能搞“一刀切”。“一刀切”模式</w:t>
      </w:r>
      <w:r>
        <w:rPr>
          <w:rFonts w:ascii="仿宋_GB2312" w:eastAsia="仿宋_GB2312" w:hAnsi="宋体" w:cs="宋体" w:hint="eastAsia"/>
          <w:kern w:val="0"/>
          <w:sz w:val="30"/>
          <w:szCs w:val="30"/>
        </w:rPr>
        <w:t>无法契合全国各地法院</w:t>
      </w:r>
      <w:r w:rsidRPr="00D265D2">
        <w:rPr>
          <w:rFonts w:ascii="仿宋_GB2312" w:eastAsia="仿宋_GB2312" w:hAnsi="宋体" w:cs="宋体" w:hint="eastAsia"/>
          <w:kern w:val="0"/>
          <w:sz w:val="30"/>
          <w:szCs w:val="30"/>
        </w:rPr>
        <w:t>客观存在的差异性，更不能满足当下审判业务专业化的需求</w:t>
      </w:r>
      <w:r>
        <w:rPr>
          <w:rFonts w:ascii="仿宋_GB2312" w:eastAsia="仿宋_GB2312" w:hAnsi="宋体" w:cs="宋体" w:hint="eastAsia"/>
          <w:kern w:val="0"/>
          <w:sz w:val="30"/>
          <w:szCs w:val="30"/>
        </w:rPr>
        <w:t>，</w:t>
      </w:r>
      <w:r w:rsidRPr="00D265D2">
        <w:rPr>
          <w:rFonts w:ascii="仿宋_GB2312" w:eastAsia="仿宋_GB2312" w:hAnsi="宋体" w:cs="宋体" w:hint="eastAsia"/>
          <w:kern w:val="0"/>
          <w:sz w:val="30"/>
          <w:szCs w:val="30"/>
        </w:rPr>
        <w:t>最终将演化为应然的美好愿景与实然的制度搁置之间的冲突。</w:t>
      </w:r>
    </w:p>
    <w:p w:rsidR="00372DA1" w:rsidRPr="00230AD7" w:rsidRDefault="00372DA1" w:rsidP="00950824">
      <w:pPr>
        <w:ind w:firstLineChars="200" w:firstLine="600"/>
        <w:rPr>
          <w:rFonts w:ascii="楷体" w:eastAsia="楷体" w:hAnsi="楷体" w:cs="宋体"/>
          <w:kern w:val="0"/>
          <w:sz w:val="30"/>
          <w:szCs w:val="30"/>
        </w:rPr>
      </w:pPr>
      <w:r w:rsidRPr="00230AD7">
        <w:rPr>
          <w:rFonts w:ascii="楷体" w:eastAsia="楷体" w:hAnsi="楷体" w:cs="宋体" w:hint="eastAsia"/>
          <w:kern w:val="0"/>
          <w:sz w:val="30"/>
          <w:szCs w:val="30"/>
        </w:rPr>
        <w:lastRenderedPageBreak/>
        <w:t>（三）逻辑不当</w:t>
      </w:r>
    </w:p>
    <w:p w:rsidR="00372DA1" w:rsidRPr="00D265D2" w:rsidRDefault="00372DA1" w:rsidP="00950824">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初任法官基层入额制度</w:t>
      </w:r>
      <w:r w:rsidRPr="00D265D2">
        <w:rPr>
          <w:rFonts w:ascii="仿宋_GB2312" w:eastAsia="仿宋_GB2312" w:hAnsi="宋体" w:cs="宋体" w:hint="eastAsia"/>
          <w:kern w:val="0"/>
          <w:sz w:val="30"/>
          <w:szCs w:val="30"/>
        </w:rPr>
        <w:t>选择逆向改革的逻辑，让改革面临</w:t>
      </w:r>
      <w:r>
        <w:rPr>
          <w:rFonts w:ascii="仿宋_GB2312" w:eastAsia="仿宋_GB2312" w:hAnsi="宋体" w:cs="宋体" w:hint="eastAsia"/>
          <w:kern w:val="0"/>
          <w:sz w:val="30"/>
          <w:szCs w:val="30"/>
        </w:rPr>
        <w:t>来自各级法院及法官助理</w:t>
      </w:r>
      <w:r w:rsidRPr="00D265D2">
        <w:rPr>
          <w:rFonts w:ascii="仿宋_GB2312" w:eastAsia="仿宋_GB2312" w:hAnsi="宋体" w:cs="宋体" w:hint="eastAsia"/>
          <w:kern w:val="0"/>
          <w:sz w:val="30"/>
          <w:szCs w:val="30"/>
        </w:rPr>
        <w:t>更大的</w:t>
      </w:r>
      <w:r>
        <w:rPr>
          <w:rFonts w:ascii="仿宋_GB2312" w:eastAsia="仿宋_GB2312" w:hAnsi="宋体" w:cs="宋体" w:hint="eastAsia"/>
          <w:kern w:val="0"/>
          <w:sz w:val="30"/>
          <w:szCs w:val="30"/>
        </w:rPr>
        <w:t>阻碍。同时，</w:t>
      </w:r>
      <w:r w:rsidRPr="00D265D2">
        <w:rPr>
          <w:rFonts w:ascii="仿宋_GB2312" w:eastAsia="仿宋_GB2312" w:hAnsi="宋体" w:cs="宋体" w:hint="eastAsia"/>
          <w:kern w:val="0"/>
          <w:sz w:val="30"/>
          <w:szCs w:val="30"/>
        </w:rPr>
        <w:t>初任法官基层入额制度采用偶然性因果关联的逻辑与法官精英化、专业化进行“搭桥”，</w:t>
      </w:r>
      <w:r>
        <w:rPr>
          <w:rFonts w:ascii="仿宋_GB2312" w:eastAsia="仿宋_GB2312" w:hAnsi="宋体" w:cs="宋体" w:hint="eastAsia"/>
          <w:kern w:val="0"/>
          <w:sz w:val="30"/>
          <w:szCs w:val="30"/>
        </w:rPr>
        <w:t>也</w:t>
      </w:r>
      <w:r w:rsidRPr="00D265D2">
        <w:rPr>
          <w:rFonts w:ascii="仿宋_GB2312" w:eastAsia="仿宋_GB2312" w:hAnsi="宋体" w:cs="宋体" w:hint="eastAsia"/>
          <w:kern w:val="0"/>
          <w:sz w:val="30"/>
          <w:szCs w:val="30"/>
        </w:rPr>
        <w:t>存在逻辑上的问题。</w:t>
      </w:r>
    </w:p>
    <w:p w:rsidR="00372DA1" w:rsidRDefault="00372DA1" w:rsidP="00950824">
      <w:pPr>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刚性逻辑的负功能。</w:t>
      </w:r>
      <w:r w:rsidRPr="00D265D2">
        <w:rPr>
          <w:rFonts w:ascii="仿宋_GB2312" w:eastAsia="仿宋_GB2312" w:hAnsi="宋体" w:cs="宋体" w:hint="eastAsia"/>
          <w:kern w:val="0"/>
          <w:sz w:val="30"/>
          <w:szCs w:val="30"/>
        </w:rPr>
        <w:t>初任法官一律在基层入额，制度实施的阻却力量过大，制度实效有待论证。在阻力远大于推力的情况下，贸然在全国范围内</w:t>
      </w:r>
      <w:r>
        <w:rPr>
          <w:rFonts w:ascii="仿宋_GB2312" w:eastAsia="仿宋_GB2312" w:hAnsi="宋体" w:cs="宋体" w:hint="eastAsia"/>
          <w:kern w:val="0"/>
          <w:sz w:val="30"/>
          <w:szCs w:val="30"/>
        </w:rPr>
        <w:t>强行推行基层入额制度改革，可能面临来自各级法院与法官助理的</w:t>
      </w:r>
      <w:r w:rsidRPr="00D265D2">
        <w:rPr>
          <w:rFonts w:ascii="仿宋_GB2312" w:eastAsia="仿宋_GB2312" w:hAnsi="宋体" w:cs="宋体" w:hint="eastAsia"/>
          <w:kern w:val="0"/>
          <w:sz w:val="30"/>
          <w:szCs w:val="30"/>
        </w:rPr>
        <w:t>抵制</w:t>
      </w:r>
      <w:r>
        <w:rPr>
          <w:rFonts w:ascii="仿宋_GB2312" w:eastAsia="仿宋_GB2312" w:hAnsi="宋体" w:cs="宋体" w:hint="eastAsia"/>
          <w:kern w:val="0"/>
          <w:sz w:val="30"/>
          <w:szCs w:val="30"/>
        </w:rPr>
        <w:t>与排除，进而</w:t>
      </w:r>
      <w:r w:rsidRPr="00D265D2">
        <w:rPr>
          <w:rFonts w:ascii="仿宋_GB2312" w:eastAsia="仿宋_GB2312" w:hAnsi="宋体" w:cs="宋体" w:hint="eastAsia"/>
          <w:kern w:val="0"/>
          <w:sz w:val="30"/>
          <w:szCs w:val="30"/>
        </w:rPr>
        <w:t>可能打破司法生态平衡，破坏司法秩序与稳定。另一方面，刚性强制所有初任法官一律下基层入额，客观</w:t>
      </w:r>
      <w:r>
        <w:rPr>
          <w:rFonts w:ascii="仿宋_GB2312" w:eastAsia="仿宋_GB2312" w:hAnsi="宋体" w:cs="宋体" w:hint="eastAsia"/>
          <w:kern w:val="0"/>
          <w:sz w:val="30"/>
          <w:szCs w:val="30"/>
        </w:rPr>
        <w:t>上会造成基层法院入额“扎堆”，而</w:t>
      </w:r>
      <w:r w:rsidRPr="00D265D2">
        <w:rPr>
          <w:rFonts w:ascii="仿宋_GB2312" w:eastAsia="仿宋_GB2312" w:hAnsi="宋体" w:cs="宋体" w:hint="eastAsia"/>
          <w:kern w:val="0"/>
          <w:sz w:val="30"/>
          <w:szCs w:val="30"/>
        </w:rPr>
        <w:t>中级以上法院法官</w:t>
      </w:r>
      <w:r>
        <w:rPr>
          <w:rFonts w:ascii="仿宋_GB2312" w:eastAsia="仿宋_GB2312" w:hAnsi="宋体" w:cs="宋体" w:hint="eastAsia"/>
          <w:kern w:val="0"/>
          <w:sz w:val="30"/>
          <w:szCs w:val="30"/>
        </w:rPr>
        <w:t>助理“空心化”，影响各级法院的</w:t>
      </w:r>
      <w:r w:rsidRPr="00D265D2">
        <w:rPr>
          <w:rFonts w:ascii="仿宋_GB2312" w:eastAsia="仿宋_GB2312" w:hAnsi="宋体" w:cs="宋体" w:hint="eastAsia"/>
          <w:kern w:val="0"/>
          <w:sz w:val="30"/>
          <w:szCs w:val="30"/>
        </w:rPr>
        <w:t>稳定性。</w:t>
      </w:r>
    </w:p>
    <w:p w:rsidR="00372DA1" w:rsidRPr="00D265D2" w:rsidRDefault="00E73F76" w:rsidP="00950824">
      <w:pPr>
        <w:ind w:firstLineChars="200" w:firstLine="420"/>
        <w:rPr>
          <w:rFonts w:ascii="仿宋_GB2312" w:eastAsia="仿宋_GB2312" w:hAnsi="宋体" w:cs="宋体"/>
          <w:kern w:val="0"/>
          <w:sz w:val="30"/>
          <w:szCs w:val="30"/>
        </w:rPr>
      </w:pPr>
      <w:r w:rsidRPr="00E73F76">
        <w:rPr>
          <w:noProof/>
        </w:rPr>
        <w:pict>
          <v:shape id="_x0000_s1029" type="#_x0000_t75" style="position:absolute;left:0;text-align:left;margin-left:-32.15pt;margin-top:499.25pt;width:479.6pt;height:120.2pt;z-index:2;mso-position-horizontal-relative:margin;mso-position-vertical-relative:margin">
            <v:imagedata r:id="rId8" o:title=""/>
            <w10:wrap type="square" anchorx="margin" anchory="margin"/>
          </v:shape>
        </w:pict>
      </w:r>
      <w:r w:rsidR="00372DA1" w:rsidRPr="00230AD7">
        <w:rPr>
          <w:rFonts w:ascii="仿宋_GB2312" w:eastAsia="仿宋_GB2312" w:hAnsi="宋体" w:cs="宋体"/>
          <w:b/>
          <w:kern w:val="0"/>
          <w:sz w:val="30"/>
          <w:szCs w:val="30"/>
        </w:rPr>
        <w:t>2.</w:t>
      </w:r>
      <w:r w:rsidR="00372DA1">
        <w:rPr>
          <w:rFonts w:ascii="仿宋_GB2312" w:eastAsia="仿宋_GB2312" w:hAnsi="宋体" w:cs="宋体" w:hint="eastAsia"/>
          <w:b/>
          <w:kern w:val="0"/>
          <w:sz w:val="30"/>
          <w:szCs w:val="30"/>
        </w:rPr>
        <w:t>目标逻辑的或</w:t>
      </w:r>
      <w:r w:rsidR="00372DA1" w:rsidRPr="00230AD7">
        <w:rPr>
          <w:rFonts w:ascii="仿宋_GB2312" w:eastAsia="仿宋_GB2312" w:hAnsi="宋体" w:cs="宋体" w:hint="eastAsia"/>
          <w:b/>
          <w:kern w:val="0"/>
          <w:sz w:val="30"/>
          <w:szCs w:val="30"/>
        </w:rPr>
        <w:t>然性。</w:t>
      </w:r>
      <w:r w:rsidR="00372DA1" w:rsidRPr="00D265D2">
        <w:rPr>
          <w:rFonts w:ascii="仿宋_GB2312" w:eastAsia="仿宋_GB2312" w:hAnsi="宋体" w:cs="宋体" w:hint="eastAsia"/>
          <w:kern w:val="0"/>
          <w:sz w:val="30"/>
          <w:szCs w:val="30"/>
        </w:rPr>
        <w:t>霍姆斯</w:t>
      </w:r>
      <w:r w:rsidR="00372DA1" w:rsidRPr="00D265D2">
        <w:rPr>
          <w:rFonts w:ascii="仿宋_GB2312" w:eastAsia="仿宋_GB2312" w:hAnsi="宋体" w:cs="宋体"/>
          <w:kern w:val="0"/>
          <w:sz w:val="30"/>
          <w:szCs w:val="30"/>
        </w:rPr>
        <w:t>(Oliver Wendell Holmes Jr.)</w:t>
      </w:r>
      <w:r w:rsidR="00372DA1" w:rsidRPr="00D265D2">
        <w:rPr>
          <w:rFonts w:ascii="仿宋_GB2312" w:eastAsia="仿宋_GB2312" w:hAnsi="宋体" w:cs="宋体" w:hint="eastAsia"/>
          <w:kern w:val="0"/>
          <w:sz w:val="30"/>
          <w:szCs w:val="30"/>
        </w:rPr>
        <w:t>曾说</w:t>
      </w:r>
      <w:r w:rsidR="00372DA1">
        <w:rPr>
          <w:rFonts w:ascii="仿宋_GB2312" w:eastAsia="仿宋_GB2312" w:hAnsi="宋体" w:cs="宋体" w:hint="eastAsia"/>
          <w:kern w:val="0"/>
          <w:sz w:val="30"/>
          <w:szCs w:val="30"/>
        </w:rPr>
        <w:t>过</w:t>
      </w:r>
      <w:r w:rsidR="00372DA1" w:rsidRPr="00D265D2">
        <w:rPr>
          <w:rFonts w:ascii="仿宋_GB2312" w:eastAsia="仿宋_GB2312" w:hAnsi="宋体" w:cs="宋体"/>
          <w:kern w:val="0"/>
          <w:sz w:val="30"/>
          <w:szCs w:val="30"/>
        </w:rPr>
        <w:t>:</w:t>
      </w:r>
      <w:r w:rsidR="00372DA1" w:rsidRPr="00D265D2">
        <w:rPr>
          <w:rFonts w:ascii="仿宋_GB2312" w:eastAsia="仿宋_GB2312" w:hAnsi="宋体" w:cs="宋体" w:hint="eastAsia"/>
          <w:kern w:val="0"/>
          <w:sz w:val="30"/>
          <w:szCs w:val="30"/>
        </w:rPr>
        <w:t>“法律的生命在于经验，而不在于逻辑。”</w:t>
      </w:r>
      <w:r w:rsidR="00372DA1">
        <w:rPr>
          <w:rStyle w:val="aa"/>
          <w:rFonts w:ascii="仿宋_GB2312" w:eastAsia="仿宋_GB2312" w:hAnsi="宋体" w:hint="eastAsia"/>
          <w:kern w:val="0"/>
          <w:sz w:val="30"/>
          <w:szCs w:val="30"/>
        </w:rPr>
        <w:footnoteReference w:customMarkFollows="1" w:id="9"/>
        <w:t>（</w:t>
      </w:r>
      <w:r w:rsidR="00372DA1">
        <w:rPr>
          <w:rStyle w:val="aa"/>
          <w:rFonts w:ascii="仿宋_GB2312" w:eastAsia="仿宋_GB2312" w:hAnsi="宋体"/>
          <w:kern w:val="0"/>
          <w:sz w:val="30"/>
          <w:szCs w:val="30"/>
        </w:rPr>
        <w:t>9</w:t>
      </w:r>
      <w:r w:rsidR="00372DA1">
        <w:rPr>
          <w:rStyle w:val="aa"/>
          <w:rFonts w:ascii="仿宋_GB2312" w:eastAsia="仿宋_GB2312" w:hAnsi="宋体" w:hint="eastAsia"/>
          <w:kern w:val="0"/>
          <w:sz w:val="30"/>
          <w:szCs w:val="30"/>
        </w:rPr>
        <w:t>）</w:t>
      </w:r>
      <w:r w:rsidR="00372DA1" w:rsidRPr="00D265D2">
        <w:rPr>
          <w:rFonts w:ascii="仿宋_GB2312" w:eastAsia="仿宋_GB2312" w:hAnsi="宋体" w:cs="宋体" w:hint="eastAsia"/>
          <w:kern w:val="0"/>
          <w:sz w:val="30"/>
          <w:szCs w:val="30"/>
        </w:rPr>
        <w:t>庞德也认为</w:t>
      </w:r>
      <w:r w:rsidR="00372DA1" w:rsidRPr="00D265D2">
        <w:rPr>
          <w:rFonts w:ascii="仿宋_GB2312" w:eastAsia="仿宋_GB2312" w:hAnsi="宋体" w:cs="宋体"/>
          <w:kern w:val="0"/>
          <w:sz w:val="30"/>
          <w:szCs w:val="30"/>
        </w:rPr>
        <w:t>:</w:t>
      </w:r>
      <w:r w:rsidR="00372DA1" w:rsidRPr="00D265D2">
        <w:rPr>
          <w:rFonts w:ascii="仿宋_GB2312" w:eastAsia="仿宋_GB2312" w:hAnsi="宋体" w:cs="宋体" w:hint="eastAsia"/>
          <w:kern w:val="0"/>
          <w:sz w:val="30"/>
          <w:szCs w:val="30"/>
        </w:rPr>
        <w:t>“法律是由理性所发展的经验，并不断应用于进一步的经验。”</w:t>
      </w:r>
      <w:r w:rsidR="00372DA1">
        <w:rPr>
          <w:rStyle w:val="aa"/>
          <w:rFonts w:ascii="仿宋_GB2312" w:eastAsia="仿宋_GB2312" w:hAnsi="宋体" w:hint="eastAsia"/>
          <w:kern w:val="0"/>
          <w:sz w:val="30"/>
          <w:szCs w:val="30"/>
        </w:rPr>
        <w:footnoteReference w:customMarkFollows="1" w:id="10"/>
        <w:t>（</w:t>
      </w:r>
      <w:r w:rsidR="00372DA1">
        <w:rPr>
          <w:rStyle w:val="aa"/>
          <w:rFonts w:ascii="仿宋_GB2312" w:eastAsia="仿宋_GB2312" w:hAnsi="宋体"/>
          <w:kern w:val="0"/>
          <w:sz w:val="30"/>
          <w:szCs w:val="30"/>
        </w:rPr>
        <w:t>10</w:t>
      </w:r>
      <w:r w:rsidR="00372DA1">
        <w:rPr>
          <w:rStyle w:val="aa"/>
          <w:rFonts w:ascii="仿宋_GB2312" w:eastAsia="仿宋_GB2312" w:hAnsi="宋体" w:hint="eastAsia"/>
          <w:kern w:val="0"/>
          <w:sz w:val="30"/>
          <w:szCs w:val="30"/>
        </w:rPr>
        <w:t>）</w:t>
      </w:r>
      <w:r w:rsidR="00372DA1" w:rsidRPr="00D265D2">
        <w:rPr>
          <w:rFonts w:ascii="仿宋_GB2312" w:eastAsia="仿宋_GB2312" w:hAnsi="宋体" w:cs="宋体" w:hint="eastAsia"/>
          <w:kern w:val="0"/>
          <w:sz w:val="30"/>
          <w:szCs w:val="30"/>
        </w:rPr>
        <w:t>在法律</w:t>
      </w:r>
      <w:r w:rsidR="00372DA1">
        <w:rPr>
          <w:rFonts w:ascii="仿宋_GB2312" w:eastAsia="仿宋_GB2312" w:hAnsi="宋体" w:cs="宋体" w:hint="eastAsia"/>
          <w:kern w:val="0"/>
          <w:sz w:val="30"/>
          <w:szCs w:val="30"/>
        </w:rPr>
        <w:t>经验主义下，法官的精英化、专业化目标的实现与审</w:t>
      </w:r>
      <w:r w:rsidR="00372DA1">
        <w:rPr>
          <w:rFonts w:ascii="仿宋_GB2312" w:eastAsia="仿宋_GB2312" w:hAnsi="宋体" w:cs="宋体" w:hint="eastAsia"/>
          <w:kern w:val="0"/>
          <w:sz w:val="30"/>
          <w:szCs w:val="30"/>
        </w:rPr>
        <w:lastRenderedPageBreak/>
        <w:t>判经验是呈正相关性的关系。然而如果进而扩大至“</w:t>
      </w:r>
      <w:r w:rsidR="00372DA1" w:rsidRPr="00D265D2">
        <w:rPr>
          <w:rFonts w:ascii="仿宋_GB2312" w:eastAsia="仿宋_GB2312" w:hAnsi="宋体" w:cs="宋体" w:hint="eastAsia"/>
          <w:kern w:val="0"/>
          <w:sz w:val="30"/>
          <w:szCs w:val="30"/>
        </w:rPr>
        <w:t>法官的</w:t>
      </w:r>
      <w:r w:rsidR="00372DA1">
        <w:rPr>
          <w:rFonts w:ascii="仿宋_GB2312" w:eastAsia="仿宋_GB2312" w:hAnsi="宋体" w:cs="宋体" w:hint="eastAsia"/>
          <w:kern w:val="0"/>
          <w:sz w:val="30"/>
          <w:szCs w:val="30"/>
        </w:rPr>
        <w:t>精英化、</w:t>
      </w:r>
      <w:r w:rsidR="00372DA1" w:rsidRPr="00D265D2">
        <w:rPr>
          <w:rFonts w:ascii="仿宋_GB2312" w:eastAsia="仿宋_GB2312" w:hAnsi="宋体" w:cs="宋体" w:hint="eastAsia"/>
          <w:kern w:val="0"/>
          <w:sz w:val="30"/>
          <w:szCs w:val="30"/>
        </w:rPr>
        <w:t>专业化与基层法院审判经验呈正相关性的关系</w:t>
      </w:r>
      <w:r w:rsidR="00372DA1">
        <w:rPr>
          <w:rFonts w:ascii="仿宋_GB2312" w:eastAsia="仿宋_GB2312" w:hAnsi="宋体" w:cs="宋体" w:hint="eastAsia"/>
          <w:kern w:val="0"/>
          <w:sz w:val="30"/>
          <w:szCs w:val="30"/>
        </w:rPr>
        <w:t>”</w:t>
      </w:r>
      <w:r w:rsidR="00372DA1" w:rsidRPr="00D265D2">
        <w:rPr>
          <w:rFonts w:ascii="仿宋_GB2312" w:eastAsia="仿宋_GB2312" w:hAnsi="宋体" w:cs="宋体" w:hint="eastAsia"/>
          <w:kern w:val="0"/>
          <w:sz w:val="30"/>
          <w:szCs w:val="30"/>
        </w:rPr>
        <w:t>，那么就是逻辑总结上的不当扩张。</w:t>
      </w:r>
    </w:p>
    <w:p w:rsidR="00372DA1"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各级法院的职能定位不同，决定了各级法院法官的专业化要求以及养成路径必然存在差异。如果陷入偶然性逻辑，认为实行初任法官基层入额制度</w:t>
      </w:r>
      <w:r>
        <w:rPr>
          <w:rFonts w:ascii="仿宋_GB2312" w:eastAsia="仿宋_GB2312" w:hAnsi="宋体" w:cs="宋体" w:hint="eastAsia"/>
          <w:kern w:val="0"/>
          <w:sz w:val="30"/>
          <w:szCs w:val="30"/>
        </w:rPr>
        <w:t>则能实现法官精英化，非但不能提高法官整体专业化水平，反而由于不同层级法院审判业务的差异，导致审判</w:t>
      </w:r>
      <w:r w:rsidRPr="00D265D2">
        <w:rPr>
          <w:rFonts w:ascii="仿宋_GB2312" w:eastAsia="仿宋_GB2312" w:hAnsi="宋体" w:cs="宋体" w:hint="eastAsia"/>
          <w:kern w:val="0"/>
          <w:sz w:val="30"/>
          <w:szCs w:val="30"/>
        </w:rPr>
        <w:t>质效</w:t>
      </w:r>
      <w:r>
        <w:rPr>
          <w:rFonts w:ascii="仿宋_GB2312" w:eastAsia="仿宋_GB2312" w:hAnsi="宋体" w:cs="宋体" w:hint="eastAsia"/>
          <w:kern w:val="0"/>
          <w:sz w:val="30"/>
          <w:szCs w:val="30"/>
        </w:rPr>
        <w:t>受到削弱</w:t>
      </w:r>
      <w:r w:rsidRPr="00D265D2">
        <w:rPr>
          <w:rFonts w:ascii="仿宋_GB2312" w:eastAsia="仿宋_GB2312" w:hAnsi="宋体" w:cs="宋体" w:hint="eastAsia"/>
          <w:kern w:val="0"/>
          <w:sz w:val="30"/>
          <w:szCs w:val="30"/>
        </w:rPr>
        <w:t>。</w:t>
      </w:r>
    </w:p>
    <w:p w:rsidR="00372DA1" w:rsidRPr="00343E6C" w:rsidRDefault="00372DA1" w:rsidP="00950824">
      <w:pPr>
        <w:ind w:firstLineChars="200" w:firstLine="602"/>
        <w:rPr>
          <w:rFonts w:ascii="仿宋_GB2312" w:eastAsia="仿宋_GB2312" w:hAnsi="宋体" w:cs="宋体"/>
          <w:kern w:val="0"/>
          <w:sz w:val="30"/>
          <w:szCs w:val="30"/>
        </w:rPr>
      </w:pPr>
      <w:r w:rsidRPr="00E704EC">
        <w:rPr>
          <w:rFonts w:ascii="仿宋_GB2312" w:eastAsia="仿宋_GB2312" w:hAnsi="宋体" w:cs="宋体"/>
          <w:b/>
          <w:kern w:val="0"/>
          <w:sz w:val="30"/>
          <w:szCs w:val="30"/>
        </w:rPr>
        <w:t>3.</w:t>
      </w:r>
      <w:r>
        <w:rPr>
          <w:rFonts w:ascii="仿宋_GB2312" w:eastAsia="仿宋_GB2312" w:hAnsi="宋体" w:cs="宋体" w:hint="eastAsia"/>
          <w:b/>
          <w:kern w:val="0"/>
          <w:sz w:val="30"/>
          <w:szCs w:val="30"/>
        </w:rPr>
        <w:t>制度激励的渐弱化</w:t>
      </w:r>
      <w:r w:rsidRPr="00E704EC">
        <w:rPr>
          <w:rFonts w:ascii="仿宋_GB2312" w:eastAsia="仿宋_GB2312" w:hAnsi="宋体" w:cs="宋体" w:hint="eastAsia"/>
          <w:b/>
          <w:kern w:val="0"/>
          <w:sz w:val="30"/>
          <w:szCs w:val="30"/>
        </w:rPr>
        <w:t>。</w:t>
      </w:r>
      <w:r>
        <w:rPr>
          <w:rFonts w:ascii="仿宋_GB2312" w:eastAsia="仿宋_GB2312" w:hAnsi="宋体" w:cs="宋体" w:hint="eastAsia"/>
          <w:kern w:val="0"/>
          <w:sz w:val="30"/>
          <w:szCs w:val="30"/>
        </w:rPr>
        <w:t>法官精英</w:t>
      </w:r>
      <w:r w:rsidRPr="00E704EC">
        <w:rPr>
          <w:rFonts w:ascii="仿宋_GB2312" w:eastAsia="仿宋_GB2312" w:hAnsi="宋体" w:cs="宋体" w:hint="eastAsia"/>
          <w:kern w:val="0"/>
          <w:sz w:val="30"/>
          <w:szCs w:val="30"/>
        </w:rPr>
        <w:t>化</w:t>
      </w:r>
      <w:r>
        <w:rPr>
          <w:rFonts w:ascii="仿宋_GB2312" w:eastAsia="仿宋_GB2312" w:hAnsi="宋体" w:cs="宋体" w:hint="eastAsia"/>
          <w:kern w:val="0"/>
          <w:sz w:val="30"/>
          <w:szCs w:val="30"/>
        </w:rPr>
        <w:t>改革的制度逻辑应</w:t>
      </w:r>
      <w:r w:rsidRPr="00E704EC">
        <w:rPr>
          <w:rFonts w:ascii="仿宋_GB2312" w:eastAsia="仿宋_GB2312" w:hAnsi="宋体" w:cs="宋体" w:hint="eastAsia"/>
          <w:kern w:val="0"/>
          <w:sz w:val="30"/>
          <w:szCs w:val="30"/>
        </w:rPr>
        <w:t>包涵法官职业的高度荣誉感、社会认同感以及人才吸引力，</w:t>
      </w:r>
      <w:r>
        <w:rPr>
          <w:rFonts w:ascii="仿宋_GB2312" w:eastAsia="仿宋_GB2312" w:hAnsi="宋体" w:cs="宋体" w:hint="eastAsia"/>
          <w:kern w:val="0"/>
          <w:sz w:val="30"/>
          <w:szCs w:val="30"/>
        </w:rPr>
        <w:t>进而</w:t>
      </w:r>
      <w:r w:rsidRPr="00E704EC">
        <w:rPr>
          <w:rFonts w:ascii="仿宋_GB2312" w:eastAsia="仿宋_GB2312" w:hAnsi="宋体" w:cs="宋体" w:hint="eastAsia"/>
          <w:kern w:val="0"/>
          <w:sz w:val="30"/>
          <w:szCs w:val="30"/>
        </w:rPr>
        <w:t>引导优秀法律人才投向法官职业，形成良性的法官人才养成循环。</w:t>
      </w:r>
      <w:r>
        <w:rPr>
          <w:rFonts w:ascii="仿宋_GB2312" w:eastAsia="仿宋_GB2312" w:hAnsi="宋体" w:cs="宋体" w:hint="eastAsia"/>
          <w:kern w:val="0"/>
          <w:sz w:val="30"/>
          <w:szCs w:val="30"/>
        </w:rPr>
        <w:t>但是</w:t>
      </w:r>
      <w:r w:rsidRPr="00E704EC">
        <w:rPr>
          <w:rFonts w:ascii="仿宋_GB2312" w:eastAsia="仿宋_GB2312" w:hAnsi="宋体" w:cs="宋体" w:hint="eastAsia"/>
          <w:kern w:val="0"/>
          <w:sz w:val="30"/>
          <w:szCs w:val="30"/>
        </w:rPr>
        <w:t>初任法官基层入额制度，改变法官助理对法官实现路径的职业预期，降低法官职业对高学历高素质法律人才的吸引力，导致优秀法官助理的流失，造成法官人才养成循环系统的入口量大幅减少，法官后备人才的整体基数大幅下降。法官人才“红利”的丧失将成为法官队伍整体素质提升以及法官精英化、专业化的最大制约因素。</w:t>
      </w:r>
    </w:p>
    <w:p w:rsidR="00372DA1" w:rsidRPr="00230AD7" w:rsidRDefault="00372DA1" w:rsidP="00950824">
      <w:pPr>
        <w:ind w:firstLineChars="200" w:firstLine="600"/>
        <w:rPr>
          <w:rFonts w:ascii="楷体" w:eastAsia="楷体" w:hAnsi="楷体" w:cs="宋体"/>
          <w:kern w:val="0"/>
          <w:sz w:val="30"/>
          <w:szCs w:val="30"/>
        </w:rPr>
      </w:pPr>
      <w:r w:rsidRPr="00230AD7">
        <w:rPr>
          <w:rFonts w:ascii="楷体" w:eastAsia="楷体" w:hAnsi="楷体" w:cs="宋体" w:hint="eastAsia"/>
          <w:kern w:val="0"/>
          <w:sz w:val="30"/>
          <w:szCs w:val="30"/>
        </w:rPr>
        <w:t>（四）价值失衡</w:t>
      </w:r>
    </w:p>
    <w:p w:rsidR="00372DA1" w:rsidRPr="00D265D2" w:rsidRDefault="00372DA1" w:rsidP="00950824">
      <w:pPr>
        <w:tabs>
          <w:tab w:val="left" w:pos="312"/>
        </w:tabs>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司法体制改革的背后，往往是各种司法价值的博弈权衡。初任法官基层入额制度在追求司法专业化价值的同时忽视了其他司法价值，造成司法价值体系的失衡。</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司法专业化与司法稳定的冲突。</w:t>
      </w:r>
      <w:r w:rsidRPr="00D265D2">
        <w:rPr>
          <w:rFonts w:ascii="仿宋_GB2312" w:eastAsia="仿宋_GB2312" w:hAnsi="宋体" w:cs="宋体" w:hint="eastAsia"/>
          <w:kern w:val="0"/>
          <w:sz w:val="30"/>
          <w:szCs w:val="30"/>
        </w:rPr>
        <w:t>初任法官基层入额制度的</w:t>
      </w:r>
      <w:r w:rsidRPr="00D265D2">
        <w:rPr>
          <w:rFonts w:ascii="仿宋_GB2312" w:eastAsia="仿宋_GB2312" w:hAnsi="宋体" w:cs="宋体" w:hint="eastAsia"/>
          <w:kern w:val="0"/>
          <w:sz w:val="30"/>
          <w:szCs w:val="30"/>
        </w:rPr>
        <w:lastRenderedPageBreak/>
        <w:t>内在价值导向是法官的专业化</w:t>
      </w:r>
      <w:r>
        <w:rPr>
          <w:rFonts w:ascii="仿宋_GB2312" w:eastAsia="仿宋_GB2312" w:hAnsi="宋体" w:cs="宋体" w:hint="eastAsia"/>
          <w:kern w:val="0"/>
          <w:sz w:val="30"/>
          <w:szCs w:val="30"/>
        </w:rPr>
        <w:t>、精英化</w:t>
      </w:r>
      <w:r w:rsidRPr="00D265D2">
        <w:rPr>
          <w:rFonts w:ascii="仿宋_GB2312" w:eastAsia="仿宋_GB2312" w:hAnsi="宋体" w:cs="宋体" w:hint="eastAsia"/>
          <w:kern w:val="0"/>
          <w:sz w:val="30"/>
          <w:szCs w:val="30"/>
        </w:rPr>
        <w:t>，而其可能损害司法稳定性价值。初任法官基</w:t>
      </w:r>
      <w:r>
        <w:rPr>
          <w:rFonts w:ascii="仿宋_GB2312" w:eastAsia="仿宋_GB2312" w:hAnsi="宋体" w:cs="宋体" w:hint="eastAsia"/>
          <w:kern w:val="0"/>
          <w:sz w:val="30"/>
          <w:szCs w:val="30"/>
        </w:rPr>
        <w:t>层入额制度损害法官助理的职业预期，改变其工作环境，影响其生活状态</w:t>
      </w:r>
      <w:r w:rsidRPr="00D265D2">
        <w:rPr>
          <w:rFonts w:ascii="仿宋_GB2312" w:eastAsia="仿宋_GB2312" w:hAnsi="宋体" w:cs="宋体" w:hint="eastAsia"/>
          <w:kern w:val="0"/>
          <w:sz w:val="30"/>
          <w:szCs w:val="30"/>
        </w:rPr>
        <w:t>，在很大程度上增加其适应新环境、新工作、新生活的成本，可能导致法官助理的</w:t>
      </w:r>
      <w:r>
        <w:rPr>
          <w:rFonts w:ascii="仿宋_GB2312" w:eastAsia="仿宋_GB2312" w:hAnsi="宋体" w:cs="宋体" w:hint="eastAsia"/>
          <w:kern w:val="0"/>
          <w:sz w:val="30"/>
          <w:szCs w:val="30"/>
        </w:rPr>
        <w:t>较大规模</w:t>
      </w:r>
      <w:r w:rsidRPr="00D265D2">
        <w:rPr>
          <w:rFonts w:ascii="仿宋_GB2312" w:eastAsia="仿宋_GB2312" w:hAnsi="宋体" w:cs="宋体" w:hint="eastAsia"/>
          <w:kern w:val="0"/>
          <w:sz w:val="30"/>
          <w:szCs w:val="30"/>
        </w:rPr>
        <w:t>流失，影响法官后备队伍的稳定。长远而言，基层入额制度会</w:t>
      </w:r>
      <w:r>
        <w:rPr>
          <w:rFonts w:ascii="仿宋_GB2312" w:eastAsia="仿宋_GB2312" w:hAnsi="宋体" w:cs="宋体" w:hint="eastAsia"/>
          <w:kern w:val="0"/>
          <w:sz w:val="30"/>
          <w:szCs w:val="30"/>
        </w:rPr>
        <w:t>削弱中级以上法院对于法官助理的吸引力，</w:t>
      </w:r>
      <w:r w:rsidRPr="00D265D2">
        <w:rPr>
          <w:rFonts w:ascii="仿宋_GB2312" w:eastAsia="仿宋_GB2312" w:hAnsi="宋体" w:cs="宋体" w:hint="eastAsia"/>
          <w:kern w:val="0"/>
          <w:sz w:val="30"/>
          <w:szCs w:val="30"/>
        </w:rPr>
        <w:t>形成</w:t>
      </w:r>
      <w:r>
        <w:rPr>
          <w:rFonts w:ascii="仿宋_GB2312" w:eastAsia="仿宋_GB2312" w:hAnsi="宋体" w:cs="宋体" w:hint="eastAsia"/>
          <w:kern w:val="0"/>
          <w:sz w:val="30"/>
          <w:szCs w:val="30"/>
        </w:rPr>
        <w:t>“倒金字塔”的司法人员结构，严重制约法官队伍的可持续性发展，影响整个司法体系的稳定性</w:t>
      </w:r>
      <w:r w:rsidRPr="00D265D2">
        <w:rPr>
          <w:rFonts w:ascii="仿宋_GB2312" w:eastAsia="仿宋_GB2312" w:hAnsi="宋体" w:cs="宋体" w:hint="eastAsia"/>
          <w:kern w:val="0"/>
          <w:sz w:val="30"/>
          <w:szCs w:val="30"/>
        </w:rPr>
        <w:t>。</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司法专业化与司法效率的冲突。</w:t>
      </w:r>
      <w:r w:rsidRPr="00D265D2">
        <w:rPr>
          <w:rFonts w:ascii="仿宋_GB2312" w:eastAsia="仿宋_GB2312" w:hAnsi="宋体" w:cs="宋体" w:hint="eastAsia"/>
          <w:kern w:val="0"/>
          <w:sz w:val="30"/>
          <w:szCs w:val="30"/>
        </w:rPr>
        <w:t>“法律是一门艺术，它需要经过长期的学习和实践才能掌握。”</w:t>
      </w:r>
      <w:r>
        <w:rPr>
          <w:rStyle w:val="aa"/>
          <w:rFonts w:ascii="仿宋_GB2312" w:eastAsia="仿宋_GB2312" w:hAnsi="宋体" w:hint="eastAsia"/>
          <w:kern w:val="0"/>
          <w:sz w:val="30"/>
          <w:szCs w:val="30"/>
        </w:rPr>
        <w:footnoteReference w:customMarkFollows="1" w:id="11"/>
        <w:t>（</w:t>
      </w:r>
      <w:r>
        <w:rPr>
          <w:rStyle w:val="aa"/>
          <w:rFonts w:ascii="仿宋_GB2312" w:eastAsia="仿宋_GB2312" w:hAnsi="宋体"/>
          <w:kern w:val="0"/>
          <w:sz w:val="30"/>
          <w:szCs w:val="30"/>
        </w:rPr>
        <w:t>11</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而某一领域案件的审理对该领域的司法实务经</w:t>
      </w:r>
      <w:r>
        <w:rPr>
          <w:rFonts w:ascii="仿宋_GB2312" w:eastAsia="仿宋_GB2312" w:hAnsi="宋体" w:cs="宋体" w:hint="eastAsia"/>
          <w:kern w:val="0"/>
          <w:sz w:val="30"/>
          <w:szCs w:val="30"/>
        </w:rPr>
        <w:t>验要求很高，法官助理从事的司法审判辅助工作，与法官职业一样需要</w:t>
      </w:r>
      <w:r w:rsidRPr="00D265D2">
        <w:rPr>
          <w:rFonts w:ascii="仿宋_GB2312" w:eastAsia="仿宋_GB2312" w:hAnsi="宋体" w:cs="宋体" w:hint="eastAsia"/>
          <w:kern w:val="0"/>
          <w:sz w:val="30"/>
          <w:szCs w:val="30"/>
        </w:rPr>
        <w:t>相对较长的法律专业实践经验作为基础，才能胜任该领域的工作需要。</w:t>
      </w:r>
      <w:r>
        <w:rPr>
          <w:rStyle w:val="aa"/>
          <w:rFonts w:ascii="仿宋_GB2312" w:eastAsia="仿宋_GB2312" w:hAnsi="宋体" w:hint="eastAsia"/>
          <w:kern w:val="0"/>
          <w:sz w:val="30"/>
          <w:szCs w:val="30"/>
        </w:rPr>
        <w:footnoteReference w:customMarkFollows="1" w:id="12"/>
        <w:t>（</w:t>
      </w:r>
      <w:r>
        <w:rPr>
          <w:rStyle w:val="aa"/>
          <w:rFonts w:ascii="仿宋_GB2312" w:eastAsia="仿宋_GB2312" w:hAnsi="宋体"/>
          <w:kern w:val="0"/>
          <w:sz w:val="30"/>
          <w:szCs w:val="30"/>
        </w:rPr>
        <w:t>12</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初任法官入额前</w:t>
      </w:r>
      <w:r w:rsidRPr="00D265D2">
        <w:rPr>
          <w:rFonts w:ascii="仿宋_GB2312" w:eastAsia="仿宋_GB2312" w:hAnsi="宋体" w:cs="宋体" w:hint="eastAsia"/>
          <w:kern w:val="0"/>
          <w:sz w:val="30"/>
          <w:szCs w:val="30"/>
        </w:rPr>
        <w:t>五年</w:t>
      </w:r>
      <w:r>
        <w:rPr>
          <w:rFonts w:ascii="仿宋_GB2312" w:eastAsia="仿宋_GB2312" w:hAnsi="宋体" w:cs="宋体" w:hint="eastAsia"/>
          <w:kern w:val="0"/>
          <w:sz w:val="30"/>
          <w:szCs w:val="30"/>
        </w:rPr>
        <w:t>左右的助理经历，基本只能</w:t>
      </w:r>
      <w:r w:rsidRPr="00D265D2">
        <w:rPr>
          <w:rFonts w:ascii="仿宋_GB2312" w:eastAsia="仿宋_GB2312" w:hAnsi="宋体" w:cs="宋体" w:hint="eastAsia"/>
          <w:kern w:val="0"/>
          <w:sz w:val="30"/>
          <w:szCs w:val="30"/>
        </w:rPr>
        <w:t>养成某一领域的案件审理辅助经验。然而，在知识产权、海事、军事</w:t>
      </w:r>
      <w:r>
        <w:rPr>
          <w:rFonts w:ascii="仿宋_GB2312" w:eastAsia="仿宋_GB2312" w:hAnsi="宋体" w:cs="宋体" w:hint="eastAsia"/>
          <w:kern w:val="0"/>
          <w:sz w:val="30"/>
          <w:szCs w:val="30"/>
        </w:rPr>
        <w:t>、互联网等专门法院专业性不断加强，以及破产、环境资源、涉外、少年家事等案件类型专业化、多样化</w:t>
      </w:r>
      <w:r w:rsidRPr="00D265D2">
        <w:rPr>
          <w:rFonts w:ascii="仿宋_GB2312" w:eastAsia="仿宋_GB2312" w:hAnsi="宋体" w:cs="宋体" w:hint="eastAsia"/>
          <w:kern w:val="0"/>
          <w:sz w:val="30"/>
          <w:szCs w:val="30"/>
        </w:rPr>
        <w:t>趋势下，强制性要求从事某一领域案件的审判辅助工作的法官助理到基层法院入额，</w:t>
      </w:r>
      <w:r>
        <w:rPr>
          <w:rFonts w:ascii="仿宋_GB2312" w:eastAsia="仿宋_GB2312" w:hAnsi="宋体" w:cs="宋体" w:hint="eastAsia"/>
          <w:kern w:val="0"/>
          <w:sz w:val="30"/>
          <w:szCs w:val="30"/>
        </w:rPr>
        <w:t>与这些专业审判</w:t>
      </w:r>
      <w:r w:rsidRPr="00E704EC">
        <w:rPr>
          <w:rFonts w:ascii="仿宋_GB2312" w:eastAsia="仿宋_GB2312" w:hAnsi="宋体" w:cs="宋体" w:hint="eastAsia"/>
          <w:kern w:val="0"/>
          <w:sz w:val="30"/>
          <w:szCs w:val="30"/>
        </w:rPr>
        <w:t>领域的司法规律及法官养成路径相悖</w:t>
      </w:r>
      <w:r>
        <w:rPr>
          <w:rFonts w:ascii="仿宋_GB2312" w:eastAsia="仿宋_GB2312" w:hAnsi="宋体" w:cs="宋体" w:hint="eastAsia"/>
          <w:kern w:val="0"/>
          <w:sz w:val="30"/>
          <w:szCs w:val="30"/>
        </w:rPr>
        <w:t>，</w:t>
      </w:r>
      <w:r w:rsidRPr="00D265D2">
        <w:rPr>
          <w:rFonts w:ascii="仿宋_GB2312" w:eastAsia="仿宋_GB2312" w:hAnsi="宋体" w:cs="宋体" w:hint="eastAsia"/>
          <w:kern w:val="0"/>
          <w:sz w:val="30"/>
          <w:szCs w:val="30"/>
        </w:rPr>
        <w:t>极有可能导致在上级法院对</w:t>
      </w:r>
      <w:r w:rsidRPr="00D265D2">
        <w:rPr>
          <w:rFonts w:ascii="仿宋_GB2312" w:eastAsia="仿宋_GB2312" w:hAnsi="宋体" w:cs="宋体"/>
          <w:kern w:val="0"/>
          <w:sz w:val="30"/>
          <w:szCs w:val="30"/>
        </w:rPr>
        <w:t>A</w:t>
      </w:r>
      <w:r>
        <w:rPr>
          <w:rFonts w:ascii="仿宋_GB2312" w:eastAsia="仿宋_GB2312" w:hAnsi="宋体" w:cs="宋体" w:hint="eastAsia"/>
          <w:kern w:val="0"/>
          <w:sz w:val="30"/>
          <w:szCs w:val="30"/>
        </w:rPr>
        <w:t>领域</w:t>
      </w:r>
      <w:r w:rsidRPr="00D265D2">
        <w:rPr>
          <w:rFonts w:ascii="仿宋_GB2312" w:eastAsia="仿宋_GB2312" w:hAnsi="宋体" w:cs="宋体" w:hint="eastAsia"/>
          <w:kern w:val="0"/>
          <w:sz w:val="30"/>
          <w:szCs w:val="30"/>
        </w:rPr>
        <w:t>案件经验比较丰富的法官助理，到基层法院入额后从事无相关实务经验的</w:t>
      </w:r>
      <w:r w:rsidRPr="00D265D2">
        <w:rPr>
          <w:rFonts w:ascii="仿宋_GB2312" w:eastAsia="仿宋_GB2312" w:hAnsi="宋体" w:cs="宋体"/>
          <w:kern w:val="0"/>
          <w:sz w:val="30"/>
          <w:szCs w:val="30"/>
        </w:rPr>
        <w:t>B</w:t>
      </w:r>
      <w:r>
        <w:rPr>
          <w:rFonts w:ascii="仿宋_GB2312" w:eastAsia="仿宋_GB2312" w:hAnsi="宋体" w:cs="宋体" w:hint="eastAsia"/>
          <w:kern w:val="0"/>
          <w:sz w:val="30"/>
          <w:szCs w:val="30"/>
        </w:rPr>
        <w:t>领域</w:t>
      </w:r>
      <w:r w:rsidRPr="00D265D2">
        <w:rPr>
          <w:rFonts w:ascii="仿宋_GB2312" w:eastAsia="仿宋_GB2312" w:hAnsi="宋体" w:cs="宋体" w:hint="eastAsia"/>
          <w:kern w:val="0"/>
          <w:sz w:val="30"/>
          <w:szCs w:val="30"/>
        </w:rPr>
        <w:t>案件的审理，</w:t>
      </w:r>
      <w:r>
        <w:rPr>
          <w:rFonts w:ascii="仿宋_GB2312" w:eastAsia="仿宋_GB2312" w:hAnsi="宋体" w:cs="宋体" w:hint="eastAsia"/>
          <w:kern w:val="0"/>
          <w:sz w:val="30"/>
          <w:szCs w:val="30"/>
        </w:rPr>
        <w:t>需要较长一段时间进行新领域审判经验的学习</w:t>
      </w:r>
      <w:r>
        <w:rPr>
          <w:rFonts w:ascii="仿宋_GB2312" w:eastAsia="仿宋_GB2312" w:hAnsi="宋体" w:cs="宋体" w:hint="eastAsia"/>
          <w:kern w:val="0"/>
          <w:sz w:val="30"/>
          <w:szCs w:val="30"/>
        </w:rPr>
        <w:lastRenderedPageBreak/>
        <w:t>积累，中短期内必然</w:t>
      </w:r>
      <w:r w:rsidRPr="00D265D2">
        <w:rPr>
          <w:rFonts w:ascii="仿宋_GB2312" w:eastAsia="仿宋_GB2312" w:hAnsi="宋体" w:cs="宋体" w:hint="eastAsia"/>
          <w:kern w:val="0"/>
          <w:sz w:val="30"/>
          <w:szCs w:val="30"/>
        </w:rPr>
        <w:t>导致审判效率遭受损失。</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3.</w:t>
      </w:r>
      <w:r w:rsidRPr="00230AD7">
        <w:rPr>
          <w:rFonts w:ascii="仿宋_GB2312" w:eastAsia="仿宋_GB2312" w:hAnsi="宋体" w:cs="宋体" w:hint="eastAsia"/>
          <w:b/>
          <w:kern w:val="0"/>
          <w:sz w:val="30"/>
          <w:szCs w:val="30"/>
        </w:rPr>
        <w:t>司法专业化与司法成本的冲突。</w:t>
      </w:r>
      <w:r>
        <w:rPr>
          <w:rFonts w:ascii="仿宋_GB2312" w:eastAsia="仿宋_GB2312" w:hAnsi="宋体" w:cs="宋体" w:hint="eastAsia"/>
          <w:b/>
          <w:kern w:val="0"/>
          <w:sz w:val="30"/>
          <w:szCs w:val="30"/>
        </w:rPr>
        <w:t>“</w:t>
      </w:r>
      <w:r w:rsidRPr="00D265D2">
        <w:rPr>
          <w:rFonts w:ascii="仿宋_GB2312" w:eastAsia="仿宋_GB2312" w:hAnsi="宋体" w:cs="宋体" w:hint="eastAsia"/>
          <w:kern w:val="0"/>
          <w:sz w:val="30"/>
          <w:szCs w:val="30"/>
        </w:rPr>
        <w:t>为了理解当下的法律，我满足于这样一幅图景，即在付出最小代价的条件下尽可能地满</w:t>
      </w:r>
      <w:r>
        <w:rPr>
          <w:rFonts w:ascii="仿宋_GB2312" w:eastAsia="仿宋_GB2312" w:hAnsi="宋体" w:cs="宋体" w:hint="eastAsia"/>
          <w:kern w:val="0"/>
          <w:sz w:val="30"/>
          <w:szCs w:val="30"/>
        </w:rPr>
        <w:t>足</w:t>
      </w:r>
      <w:r w:rsidRPr="00D265D2">
        <w:rPr>
          <w:rFonts w:ascii="仿宋_GB2312" w:eastAsia="仿宋_GB2312" w:hAnsi="宋体" w:cs="宋体" w:hint="eastAsia"/>
          <w:kern w:val="0"/>
          <w:sz w:val="30"/>
          <w:szCs w:val="30"/>
        </w:rPr>
        <w:t>各种要求。</w:t>
      </w:r>
      <w:r>
        <w:rPr>
          <w:rFonts w:ascii="仿宋_GB2312" w:eastAsia="仿宋_GB2312" w:hAnsi="宋体" w:cs="宋体" w:hint="eastAsia"/>
          <w:b/>
          <w:kern w:val="0"/>
          <w:sz w:val="30"/>
          <w:szCs w:val="30"/>
        </w:rPr>
        <w:t>”</w:t>
      </w:r>
      <w:r>
        <w:rPr>
          <w:rStyle w:val="aa"/>
          <w:rFonts w:ascii="仿宋_GB2312" w:eastAsia="仿宋_GB2312" w:hAnsi="宋体" w:hint="eastAsia"/>
          <w:kern w:val="0"/>
          <w:sz w:val="30"/>
          <w:szCs w:val="30"/>
        </w:rPr>
        <w:footnoteReference w:customMarkFollows="1" w:id="13"/>
        <w:t>（</w:t>
      </w:r>
      <w:r>
        <w:rPr>
          <w:rStyle w:val="aa"/>
          <w:rFonts w:ascii="仿宋_GB2312" w:eastAsia="仿宋_GB2312" w:hAnsi="宋体"/>
          <w:kern w:val="0"/>
          <w:sz w:val="30"/>
          <w:szCs w:val="30"/>
        </w:rPr>
        <w:t>13</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制度的运行离不开对效益的评估和成本的考量。从成本</w:t>
      </w:r>
      <w:r>
        <w:rPr>
          <w:rFonts w:ascii="仿宋_GB2312" w:eastAsia="仿宋_GB2312" w:hAnsi="宋体" w:cs="宋体"/>
          <w:kern w:val="0"/>
          <w:sz w:val="30"/>
          <w:szCs w:val="30"/>
        </w:rPr>
        <w:softHyphen/>
      </w:r>
      <w:r>
        <w:rPr>
          <w:rFonts w:ascii="仿宋_GB2312" w:eastAsia="仿宋_GB2312" w:hAnsi="宋体" w:cs="宋体"/>
          <w:kern w:val="0"/>
          <w:sz w:val="30"/>
          <w:szCs w:val="30"/>
        </w:rPr>
        <w:t>—</w:t>
      </w:r>
      <w:r w:rsidRPr="00D265D2">
        <w:rPr>
          <w:rFonts w:ascii="仿宋_GB2312" w:eastAsia="仿宋_GB2312" w:hAnsi="宋体" w:cs="宋体" w:hint="eastAsia"/>
          <w:kern w:val="0"/>
          <w:sz w:val="30"/>
          <w:szCs w:val="30"/>
        </w:rPr>
        <w:t>效益理论看初任法官基层入额制度，顶层设计主要考虑法官的精英化与专业化，忽视了相应成本的增加以及带来的负效应。基层入额制度大幅增加各地法院选任法官的物质成本、人力成本、时间成本、机会成本以及法官助理入额的竞争成本、入额后的适应成本等</w:t>
      </w:r>
      <w:r>
        <w:rPr>
          <w:rFonts w:ascii="仿宋_GB2312" w:eastAsia="仿宋_GB2312" w:hAnsi="宋体" w:cs="宋体" w:hint="eastAsia"/>
          <w:kern w:val="0"/>
          <w:sz w:val="30"/>
          <w:szCs w:val="30"/>
        </w:rPr>
        <w:t>，</w:t>
      </w:r>
      <w:r>
        <w:rPr>
          <w:rStyle w:val="aa"/>
          <w:rFonts w:ascii="仿宋_GB2312" w:eastAsia="仿宋_GB2312" w:hAnsi="宋体" w:hint="eastAsia"/>
          <w:kern w:val="0"/>
          <w:sz w:val="30"/>
          <w:szCs w:val="30"/>
        </w:rPr>
        <w:footnoteReference w:customMarkFollows="1" w:id="14"/>
        <w:t>（</w:t>
      </w:r>
      <w:r>
        <w:rPr>
          <w:rStyle w:val="aa"/>
          <w:rFonts w:ascii="仿宋_GB2312" w:eastAsia="仿宋_GB2312" w:hAnsi="宋体"/>
          <w:kern w:val="0"/>
          <w:sz w:val="30"/>
          <w:szCs w:val="30"/>
        </w:rPr>
        <w:t>14</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很难达成</w:t>
      </w:r>
      <w:r w:rsidRPr="00D265D2">
        <w:rPr>
          <w:rFonts w:ascii="仿宋_GB2312" w:eastAsia="仿宋_GB2312" w:hAnsi="宋体" w:cs="宋体" w:hint="eastAsia"/>
          <w:kern w:val="0"/>
          <w:sz w:val="30"/>
          <w:szCs w:val="30"/>
        </w:rPr>
        <w:t>庞德所满足的那样一幅图景。</w:t>
      </w:r>
    </w:p>
    <w:p w:rsidR="00372DA1" w:rsidRPr="00230AD7" w:rsidRDefault="00372DA1" w:rsidP="00BF4FD3">
      <w:pPr>
        <w:pStyle w:val="a6"/>
        <w:numPr>
          <w:ilvl w:val="0"/>
          <w:numId w:val="29"/>
        </w:numPr>
        <w:ind w:firstLineChars="0"/>
        <w:rPr>
          <w:rFonts w:ascii="黑体" w:eastAsia="黑体" w:hAnsi="黑体" w:cs="宋体"/>
          <w:kern w:val="0"/>
          <w:sz w:val="30"/>
          <w:szCs w:val="30"/>
        </w:rPr>
      </w:pPr>
      <w:r w:rsidRPr="00230AD7">
        <w:rPr>
          <w:rFonts w:ascii="黑体" w:eastAsia="黑体" w:hAnsi="黑体" w:cs="宋体" w:hint="eastAsia"/>
          <w:kern w:val="0"/>
          <w:sz w:val="30"/>
          <w:szCs w:val="30"/>
        </w:rPr>
        <w:t>探源：实效阻却因素分析</w:t>
      </w:r>
    </w:p>
    <w:p w:rsidR="00372DA1" w:rsidRPr="00230AD7" w:rsidRDefault="00372DA1" w:rsidP="00950824">
      <w:pPr>
        <w:ind w:firstLineChars="200" w:firstLine="600"/>
        <w:rPr>
          <w:rFonts w:ascii="楷体" w:eastAsia="楷体" w:hAnsi="楷体" w:cs="宋体"/>
          <w:kern w:val="0"/>
          <w:sz w:val="30"/>
          <w:szCs w:val="30"/>
        </w:rPr>
      </w:pPr>
      <w:r w:rsidRPr="00230AD7">
        <w:rPr>
          <w:rFonts w:ascii="楷体" w:eastAsia="楷体" w:hAnsi="楷体" w:cs="宋体" w:hint="eastAsia"/>
          <w:kern w:val="0"/>
          <w:sz w:val="30"/>
          <w:szCs w:val="30"/>
        </w:rPr>
        <w:t>（一）理论因素</w:t>
      </w:r>
      <w:r w:rsidRPr="00230AD7">
        <w:rPr>
          <w:rFonts w:ascii="楷体" w:eastAsia="楷体" w:hAnsi="楷体" w:cs="宋体"/>
          <w:kern w:val="0"/>
          <w:sz w:val="30"/>
          <w:szCs w:val="30"/>
        </w:rPr>
        <w:t>——</w:t>
      </w:r>
      <w:r w:rsidRPr="00230AD7">
        <w:rPr>
          <w:rFonts w:ascii="楷体" w:eastAsia="楷体" w:hAnsi="楷体" w:cs="宋体" w:hint="eastAsia"/>
          <w:kern w:val="0"/>
          <w:sz w:val="30"/>
          <w:szCs w:val="30"/>
        </w:rPr>
        <w:t>基层入额制的新制度主义趋向</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组织行为“脱耦”。</w:t>
      </w:r>
      <w:r w:rsidRPr="00D265D2">
        <w:rPr>
          <w:rFonts w:ascii="仿宋_GB2312" w:eastAsia="仿宋_GB2312" w:hAnsi="宋体" w:cs="宋体" w:hint="eastAsia"/>
          <w:kern w:val="0"/>
          <w:sz w:val="30"/>
          <w:szCs w:val="30"/>
        </w:rPr>
        <w:t>福莱兰德</w:t>
      </w:r>
      <w:r w:rsidRPr="00D265D2">
        <w:rPr>
          <w:rFonts w:ascii="仿宋_GB2312" w:eastAsia="仿宋_GB2312" w:hAnsi="宋体" w:cs="宋体"/>
          <w:kern w:val="0"/>
          <w:sz w:val="30"/>
          <w:szCs w:val="30"/>
        </w:rPr>
        <w:t>(</w:t>
      </w:r>
      <w:proofErr w:type="spellStart"/>
      <w:r w:rsidRPr="00D265D2">
        <w:rPr>
          <w:rFonts w:ascii="仿宋_GB2312" w:eastAsia="仿宋_GB2312" w:hAnsi="宋体" w:cs="宋体"/>
          <w:kern w:val="0"/>
          <w:sz w:val="30"/>
          <w:szCs w:val="30"/>
        </w:rPr>
        <w:t>Frieland</w:t>
      </w:r>
      <w:proofErr w:type="spellEnd"/>
      <w:r w:rsidRPr="00D265D2">
        <w:rPr>
          <w:rFonts w:ascii="仿宋_GB2312" w:eastAsia="仿宋_GB2312" w:hAnsi="宋体" w:cs="宋体"/>
          <w:kern w:val="0"/>
          <w:sz w:val="30"/>
          <w:szCs w:val="30"/>
        </w:rPr>
        <w:t>)</w:t>
      </w:r>
      <w:r w:rsidRPr="00D265D2">
        <w:rPr>
          <w:rFonts w:ascii="仿宋_GB2312" w:eastAsia="仿宋_GB2312" w:hAnsi="宋体" w:cs="宋体" w:hint="eastAsia"/>
          <w:kern w:val="0"/>
          <w:sz w:val="30"/>
          <w:szCs w:val="30"/>
        </w:rPr>
        <w:t>和奥尔福德</w:t>
      </w:r>
      <w:r w:rsidRPr="00D265D2">
        <w:rPr>
          <w:rFonts w:ascii="仿宋_GB2312" w:eastAsia="仿宋_GB2312" w:hAnsi="宋体" w:cs="宋体"/>
          <w:kern w:val="0"/>
          <w:sz w:val="30"/>
          <w:szCs w:val="30"/>
        </w:rPr>
        <w:t>(Alford)</w:t>
      </w:r>
      <w:r w:rsidRPr="00D265D2">
        <w:rPr>
          <w:rFonts w:ascii="仿宋_GB2312" w:eastAsia="仿宋_GB2312" w:hAnsi="宋体" w:cs="宋体" w:hint="eastAsia"/>
          <w:kern w:val="0"/>
          <w:sz w:val="30"/>
          <w:szCs w:val="30"/>
        </w:rPr>
        <w:t>认为</w:t>
      </w:r>
      <w:r>
        <w:rPr>
          <w:rFonts w:ascii="仿宋_GB2312" w:eastAsia="仿宋_GB2312" w:hAnsi="宋体" w:cs="宋体" w:hint="eastAsia"/>
          <w:kern w:val="0"/>
          <w:sz w:val="30"/>
          <w:szCs w:val="30"/>
        </w:rPr>
        <w:t>不同制度场域依循不同的行动“逻辑”，不同的逻辑着重于接受不同的评价并且遵循</w:t>
      </w:r>
      <w:r w:rsidRPr="00D265D2">
        <w:rPr>
          <w:rFonts w:ascii="仿宋_GB2312" w:eastAsia="仿宋_GB2312" w:hAnsi="宋体" w:cs="宋体" w:hint="eastAsia"/>
          <w:kern w:val="0"/>
          <w:sz w:val="30"/>
          <w:szCs w:val="30"/>
        </w:rPr>
        <w:t>不同的优先性。</w:t>
      </w:r>
      <w:r>
        <w:rPr>
          <w:rStyle w:val="aa"/>
          <w:rFonts w:ascii="仿宋_GB2312" w:eastAsia="仿宋_GB2312" w:hAnsi="宋体" w:hint="eastAsia"/>
          <w:kern w:val="0"/>
          <w:sz w:val="30"/>
          <w:szCs w:val="30"/>
        </w:rPr>
        <w:footnoteReference w:customMarkFollows="1" w:id="15"/>
        <w:t>（</w:t>
      </w:r>
      <w:r>
        <w:rPr>
          <w:rStyle w:val="aa"/>
          <w:rFonts w:ascii="仿宋_GB2312" w:eastAsia="仿宋_GB2312" w:hAnsi="宋体"/>
          <w:kern w:val="0"/>
          <w:sz w:val="30"/>
          <w:szCs w:val="30"/>
        </w:rPr>
        <w:t>15</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处于冲突制度环境中的组织会通过“脱耦”的方式来维持合法性。“脱耦”表现为正式建立的制度“符号化”，而组织的实践与“符号”断裂。</w:t>
      </w:r>
      <w:r>
        <w:rPr>
          <w:rStyle w:val="aa"/>
          <w:rFonts w:ascii="仿宋_GB2312" w:eastAsia="仿宋_GB2312" w:hAnsi="宋体" w:hint="eastAsia"/>
          <w:kern w:val="0"/>
          <w:sz w:val="30"/>
          <w:szCs w:val="30"/>
        </w:rPr>
        <w:footnoteReference w:customMarkFollows="1" w:id="16"/>
        <w:t>（</w:t>
      </w:r>
      <w:r>
        <w:rPr>
          <w:rStyle w:val="aa"/>
          <w:rFonts w:ascii="仿宋_GB2312" w:eastAsia="仿宋_GB2312" w:hAnsi="宋体"/>
          <w:kern w:val="0"/>
          <w:sz w:val="30"/>
          <w:szCs w:val="30"/>
        </w:rPr>
        <w:t>16</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基层入额制度的组织行为“脱耦”就是大多数法院表面上按照最高法院的改革要求实施初任法官基层入</w:t>
      </w:r>
      <w:r>
        <w:rPr>
          <w:rFonts w:ascii="仿宋_GB2312" w:eastAsia="仿宋_GB2312" w:hAnsi="宋体" w:cs="宋体" w:hint="eastAsia"/>
          <w:kern w:val="0"/>
          <w:sz w:val="30"/>
          <w:szCs w:val="30"/>
        </w:rPr>
        <w:t>额制度，而在初任法官选任实践中却将基层入额制度高高挂起、不予落实</w:t>
      </w:r>
      <w:r w:rsidRPr="00D265D2">
        <w:rPr>
          <w:rFonts w:ascii="仿宋_GB2312" w:eastAsia="仿宋_GB2312" w:hAnsi="宋体" w:cs="宋体" w:hint="eastAsia"/>
          <w:kern w:val="0"/>
          <w:sz w:val="30"/>
          <w:szCs w:val="30"/>
        </w:rPr>
        <w:t>，或者</w:t>
      </w:r>
      <w:r w:rsidRPr="00D265D2">
        <w:rPr>
          <w:rFonts w:ascii="仿宋_GB2312" w:eastAsia="仿宋_GB2312" w:hAnsi="宋体" w:cs="宋体" w:hint="eastAsia"/>
          <w:kern w:val="0"/>
          <w:sz w:val="30"/>
          <w:szCs w:val="30"/>
        </w:rPr>
        <w:lastRenderedPageBreak/>
        <w:t>拒绝适用、变通</w:t>
      </w:r>
      <w:r>
        <w:rPr>
          <w:rFonts w:ascii="仿宋_GB2312" w:eastAsia="仿宋_GB2312" w:hAnsi="宋体" w:cs="宋体" w:hint="eastAsia"/>
          <w:kern w:val="0"/>
          <w:sz w:val="30"/>
          <w:szCs w:val="30"/>
        </w:rPr>
        <w:t>适用。绝大多数法院或者依旧采取在现任职法院就地入额的</w:t>
      </w:r>
      <w:r w:rsidRPr="00D265D2">
        <w:rPr>
          <w:rFonts w:ascii="仿宋_GB2312" w:eastAsia="仿宋_GB2312" w:hAnsi="宋体" w:cs="宋体" w:hint="eastAsia"/>
          <w:kern w:val="0"/>
          <w:sz w:val="30"/>
          <w:szCs w:val="30"/>
        </w:rPr>
        <w:t>模式，或者采取观望态度搁置基层入额制度，或者</w:t>
      </w:r>
      <w:r>
        <w:rPr>
          <w:rFonts w:ascii="仿宋_GB2312" w:eastAsia="仿宋_GB2312" w:hAnsi="宋体" w:cs="宋体" w:hint="eastAsia"/>
          <w:kern w:val="0"/>
          <w:sz w:val="30"/>
          <w:szCs w:val="30"/>
        </w:rPr>
        <w:t>选择性执行基层入额制度，或者制定“变通”替换措施。单个法院</w:t>
      </w:r>
      <w:r w:rsidRPr="00D265D2">
        <w:rPr>
          <w:rFonts w:ascii="仿宋_GB2312" w:eastAsia="仿宋_GB2312" w:hAnsi="宋体" w:cs="宋体" w:hint="eastAsia"/>
          <w:kern w:val="0"/>
          <w:sz w:val="30"/>
          <w:szCs w:val="30"/>
        </w:rPr>
        <w:t>将自己</w:t>
      </w:r>
      <w:r>
        <w:rPr>
          <w:rFonts w:ascii="仿宋_GB2312" w:eastAsia="仿宋_GB2312" w:hAnsi="宋体" w:cs="宋体" w:hint="eastAsia"/>
          <w:kern w:val="0"/>
          <w:sz w:val="30"/>
          <w:szCs w:val="30"/>
        </w:rPr>
        <w:t>拒绝或者变通适用基层入额制度</w:t>
      </w:r>
      <w:r w:rsidRPr="00D265D2">
        <w:rPr>
          <w:rFonts w:ascii="仿宋_GB2312" w:eastAsia="仿宋_GB2312" w:hAnsi="宋体" w:cs="宋体" w:hint="eastAsia"/>
          <w:kern w:val="0"/>
          <w:sz w:val="30"/>
          <w:szCs w:val="30"/>
        </w:rPr>
        <w:t>的行动与宏观、中观、微观的制度环境松散地耦合在一起。它就像脱耦的齿轮，看起来彼此还在一起，但实际已经空转。</w:t>
      </w:r>
      <w:r>
        <w:rPr>
          <w:rStyle w:val="aa"/>
          <w:rFonts w:ascii="仿宋_GB2312" w:eastAsia="仿宋_GB2312" w:hAnsi="宋体" w:hint="eastAsia"/>
          <w:kern w:val="0"/>
          <w:sz w:val="30"/>
          <w:szCs w:val="30"/>
        </w:rPr>
        <w:footnoteReference w:customMarkFollows="1" w:id="17"/>
        <w:t>（</w:t>
      </w:r>
      <w:r>
        <w:rPr>
          <w:rStyle w:val="aa"/>
          <w:rFonts w:ascii="仿宋_GB2312" w:eastAsia="仿宋_GB2312" w:hAnsi="宋体"/>
          <w:kern w:val="0"/>
          <w:sz w:val="30"/>
          <w:szCs w:val="30"/>
        </w:rPr>
        <w:t>17</w:t>
      </w:r>
      <w:r>
        <w:rPr>
          <w:rStyle w:val="aa"/>
          <w:rFonts w:ascii="仿宋_GB2312" w:eastAsia="仿宋_GB2312" w:hAnsi="宋体" w:hint="eastAsia"/>
          <w:kern w:val="0"/>
          <w:sz w:val="30"/>
          <w:szCs w:val="30"/>
        </w:rPr>
        <w:t>）</w:t>
      </w:r>
    </w:p>
    <w:p w:rsidR="00372DA1" w:rsidRPr="00D265D2" w:rsidRDefault="00372DA1" w:rsidP="00950824">
      <w:pPr>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组织行为“同形”。</w:t>
      </w:r>
      <w:r>
        <w:rPr>
          <w:rFonts w:ascii="仿宋_GB2312" w:eastAsia="仿宋_GB2312" w:hAnsi="宋体" w:cs="宋体" w:hint="eastAsia"/>
          <w:kern w:val="0"/>
          <w:sz w:val="30"/>
          <w:szCs w:val="30"/>
        </w:rPr>
        <w:t>为了追求合法性</w:t>
      </w:r>
      <w:r w:rsidRPr="00D265D2">
        <w:rPr>
          <w:rFonts w:ascii="仿宋_GB2312" w:eastAsia="仿宋_GB2312" w:hAnsi="宋体" w:cs="宋体" w:hint="eastAsia"/>
          <w:kern w:val="0"/>
          <w:sz w:val="30"/>
          <w:szCs w:val="30"/>
        </w:rPr>
        <w:t>，组织的行为受到组织利益相关者评价标准的影响</w:t>
      </w:r>
      <w:r>
        <w:rPr>
          <w:rFonts w:ascii="仿宋_GB2312" w:eastAsia="仿宋_GB2312" w:hAnsi="宋体" w:cs="宋体" w:hint="eastAsia"/>
          <w:kern w:val="0"/>
          <w:sz w:val="30"/>
          <w:szCs w:val="30"/>
        </w:rPr>
        <w:t>，</w:t>
      </w:r>
      <w:r>
        <w:rPr>
          <w:rStyle w:val="aa"/>
          <w:rFonts w:ascii="仿宋_GB2312" w:eastAsia="仿宋_GB2312" w:hAnsi="宋体" w:hint="eastAsia"/>
          <w:kern w:val="0"/>
          <w:sz w:val="30"/>
          <w:szCs w:val="30"/>
        </w:rPr>
        <w:footnoteReference w:customMarkFollows="1" w:id="18"/>
        <w:t>（</w:t>
      </w:r>
      <w:r>
        <w:rPr>
          <w:rStyle w:val="aa"/>
          <w:rFonts w:ascii="仿宋_GB2312" w:eastAsia="仿宋_GB2312" w:hAnsi="宋体"/>
          <w:kern w:val="0"/>
          <w:sz w:val="30"/>
          <w:szCs w:val="30"/>
        </w:rPr>
        <w:t>18</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故而会在相似的制度环境中选择</w:t>
      </w:r>
      <w:r w:rsidRPr="00D265D2">
        <w:rPr>
          <w:rFonts w:ascii="仿宋_GB2312" w:eastAsia="仿宋_GB2312" w:hAnsi="宋体" w:cs="宋体" w:hint="eastAsia"/>
          <w:kern w:val="0"/>
          <w:sz w:val="30"/>
          <w:szCs w:val="30"/>
        </w:rPr>
        <w:t>相似的行动策略</w:t>
      </w:r>
      <w:r>
        <w:rPr>
          <w:rFonts w:ascii="仿宋_GB2312" w:eastAsia="仿宋_GB2312" w:hAnsi="宋体" w:cs="宋体" w:hint="eastAsia"/>
          <w:kern w:val="0"/>
          <w:sz w:val="30"/>
          <w:szCs w:val="30"/>
        </w:rPr>
        <w:t>，</w:t>
      </w:r>
      <w:r w:rsidRPr="00D265D2">
        <w:rPr>
          <w:rFonts w:ascii="仿宋_GB2312" w:eastAsia="仿宋_GB2312" w:hAnsi="宋体" w:cs="宋体" w:hint="eastAsia"/>
          <w:kern w:val="0"/>
          <w:sz w:val="30"/>
          <w:szCs w:val="30"/>
        </w:rPr>
        <w:t>会逐步“同形”</w:t>
      </w:r>
      <w:r w:rsidRPr="00D265D2">
        <w:rPr>
          <w:rFonts w:ascii="仿宋_GB2312" w:eastAsia="仿宋_GB2312" w:hAnsi="宋体" w:cs="宋体"/>
          <w:kern w:val="0"/>
          <w:sz w:val="30"/>
          <w:szCs w:val="30"/>
        </w:rPr>
        <w:t>(isomorphism)</w:t>
      </w:r>
      <w:r w:rsidRPr="00D265D2">
        <w:rPr>
          <w:rFonts w:ascii="仿宋_GB2312" w:eastAsia="仿宋_GB2312" w:hAnsi="宋体" w:cs="宋体" w:hint="eastAsia"/>
          <w:kern w:val="0"/>
          <w:sz w:val="30"/>
          <w:szCs w:val="30"/>
        </w:rPr>
        <w:t>。“同形”</w:t>
      </w:r>
      <w:r>
        <w:rPr>
          <w:rFonts w:ascii="仿宋_GB2312" w:eastAsia="仿宋_GB2312" w:hAnsi="宋体" w:cs="宋体" w:hint="eastAsia"/>
          <w:kern w:val="0"/>
          <w:sz w:val="30"/>
          <w:szCs w:val="30"/>
        </w:rPr>
        <w:t>分为“强制同形”和“自致同形”。前者产生的结果往往是象征性的，（还有学者将“强制同形”进一步细分</w:t>
      </w:r>
      <w:r w:rsidRPr="00D265D2">
        <w:rPr>
          <w:rFonts w:ascii="仿宋_GB2312" w:eastAsia="仿宋_GB2312" w:hAnsi="宋体" w:cs="宋体" w:hint="eastAsia"/>
          <w:kern w:val="0"/>
          <w:sz w:val="30"/>
          <w:szCs w:val="30"/>
        </w:rPr>
        <w:t>为“权威方式的强制输入”</w:t>
      </w:r>
      <w:r w:rsidRPr="00D265D2">
        <w:rPr>
          <w:rFonts w:ascii="仿宋_GB2312" w:eastAsia="仿宋_GB2312" w:hAnsi="宋体" w:cs="宋体"/>
          <w:kern w:val="0"/>
          <w:sz w:val="30"/>
          <w:szCs w:val="30"/>
        </w:rPr>
        <w:t>(authority)</w:t>
      </w:r>
      <w:r w:rsidRPr="00D265D2">
        <w:rPr>
          <w:rFonts w:ascii="仿宋_GB2312" w:eastAsia="仿宋_GB2312" w:hAnsi="宋体" w:cs="宋体" w:hint="eastAsia"/>
          <w:kern w:val="0"/>
          <w:sz w:val="30"/>
          <w:szCs w:val="30"/>
        </w:rPr>
        <w:t>和“压迫方式的强制输入”</w:t>
      </w:r>
      <w:r w:rsidRPr="00D265D2">
        <w:rPr>
          <w:rFonts w:ascii="仿宋_GB2312" w:eastAsia="仿宋_GB2312" w:hAnsi="宋体" w:cs="宋体"/>
          <w:kern w:val="0"/>
          <w:sz w:val="30"/>
          <w:szCs w:val="30"/>
        </w:rPr>
        <w:t>(coercive power)</w:t>
      </w:r>
      <w:r>
        <w:rPr>
          <w:rFonts w:ascii="仿宋_GB2312" w:eastAsia="仿宋_GB2312" w:hAnsi="宋体" w:cs="宋体" w:hint="eastAsia"/>
          <w:kern w:val="0"/>
          <w:sz w:val="30"/>
          <w:szCs w:val="30"/>
        </w:rPr>
        <w:t>，同时指出前者的同形效果较后者更具稳定性）</w:t>
      </w:r>
      <w:r>
        <w:rPr>
          <w:rStyle w:val="aa"/>
          <w:rFonts w:ascii="仿宋_GB2312" w:eastAsia="仿宋_GB2312" w:hAnsi="宋体" w:hint="eastAsia"/>
          <w:kern w:val="0"/>
          <w:sz w:val="30"/>
          <w:szCs w:val="30"/>
        </w:rPr>
        <w:footnoteReference w:customMarkFollows="1" w:id="19"/>
        <w:t>（</w:t>
      </w:r>
      <w:r>
        <w:rPr>
          <w:rStyle w:val="aa"/>
          <w:rFonts w:ascii="仿宋_GB2312" w:eastAsia="仿宋_GB2312" w:hAnsi="宋体"/>
          <w:kern w:val="0"/>
          <w:sz w:val="30"/>
          <w:szCs w:val="30"/>
        </w:rPr>
        <w:t>19</w:t>
      </w:r>
      <w:r>
        <w:rPr>
          <w:rStyle w:val="aa"/>
          <w:rFonts w:ascii="仿宋_GB2312" w:eastAsia="仿宋_GB2312" w:hAnsi="宋体" w:hint="eastAsia"/>
          <w:kern w:val="0"/>
          <w:sz w:val="30"/>
          <w:szCs w:val="30"/>
        </w:rPr>
        <w:t>）</w:t>
      </w:r>
      <w:r>
        <w:rPr>
          <w:rFonts w:ascii="仿宋_GB2312" w:eastAsia="仿宋_GB2312" w:hAnsi="宋体"/>
          <w:kern w:val="0"/>
          <w:sz w:val="30"/>
          <w:szCs w:val="30"/>
        </w:rPr>
        <w:t>,</w:t>
      </w:r>
      <w:r>
        <w:rPr>
          <w:rFonts w:ascii="仿宋_GB2312" w:eastAsia="仿宋_GB2312" w:hAnsi="宋体" w:cs="宋体" w:hint="eastAsia"/>
          <w:kern w:val="0"/>
          <w:sz w:val="30"/>
          <w:szCs w:val="30"/>
        </w:rPr>
        <w:t>更容易</w:t>
      </w:r>
      <w:r w:rsidRPr="00D265D2">
        <w:rPr>
          <w:rFonts w:ascii="仿宋_GB2312" w:eastAsia="仿宋_GB2312" w:hAnsi="宋体" w:cs="宋体" w:hint="eastAsia"/>
          <w:kern w:val="0"/>
          <w:sz w:val="30"/>
          <w:szCs w:val="30"/>
        </w:rPr>
        <w:t>“脱耦”。后者则是指组织基于环境的变化而自发地作出某种行动，</w:t>
      </w:r>
      <w:r>
        <w:rPr>
          <w:rStyle w:val="aa"/>
          <w:rFonts w:ascii="仿宋_GB2312" w:eastAsia="仿宋_GB2312" w:hAnsi="宋体" w:hint="eastAsia"/>
          <w:kern w:val="0"/>
          <w:sz w:val="30"/>
          <w:szCs w:val="30"/>
        </w:rPr>
        <w:footnoteReference w:customMarkFollows="1" w:id="20"/>
        <w:t>（</w:t>
      </w:r>
      <w:r>
        <w:rPr>
          <w:rStyle w:val="aa"/>
          <w:rFonts w:ascii="仿宋_GB2312" w:eastAsia="仿宋_GB2312" w:hAnsi="宋体"/>
          <w:kern w:val="0"/>
          <w:sz w:val="30"/>
          <w:szCs w:val="30"/>
        </w:rPr>
        <w:t>20</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往往更为深刻。初任法官基层入额制度改革的推行，从对制度设计、</w:t>
      </w:r>
      <w:r w:rsidRPr="00D265D2">
        <w:rPr>
          <w:rFonts w:ascii="仿宋_GB2312" w:eastAsia="仿宋_GB2312" w:hAnsi="宋体" w:cs="宋体" w:hint="eastAsia"/>
          <w:kern w:val="0"/>
          <w:sz w:val="30"/>
          <w:szCs w:val="30"/>
        </w:rPr>
        <w:t>现实</w:t>
      </w:r>
      <w:r>
        <w:rPr>
          <w:rFonts w:ascii="仿宋_GB2312" w:eastAsia="仿宋_GB2312" w:hAnsi="宋体" w:cs="宋体" w:hint="eastAsia"/>
          <w:kern w:val="0"/>
          <w:sz w:val="30"/>
          <w:szCs w:val="30"/>
        </w:rPr>
        <w:t>制约、实施效应</w:t>
      </w:r>
      <w:r w:rsidRPr="00D265D2">
        <w:rPr>
          <w:rFonts w:ascii="仿宋_GB2312" w:eastAsia="仿宋_GB2312" w:hAnsi="宋体" w:cs="宋体" w:hint="eastAsia"/>
          <w:kern w:val="0"/>
          <w:sz w:val="30"/>
          <w:szCs w:val="30"/>
        </w:rPr>
        <w:t>的综合评估来看，基层入额制度的“同形”趋向显现。</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省高院</w:t>
      </w:r>
      <w:r>
        <w:rPr>
          <w:rFonts w:ascii="仿宋_GB2312" w:eastAsia="仿宋_GB2312" w:hAnsi="宋体" w:cs="宋体" w:hint="eastAsia"/>
          <w:kern w:val="0"/>
          <w:sz w:val="30"/>
          <w:szCs w:val="30"/>
        </w:rPr>
        <w:t>进行了一年多的调研，总结得出基层入额制度与该省法院实际情况存在严重</w:t>
      </w:r>
      <w:r w:rsidRPr="00D265D2">
        <w:rPr>
          <w:rFonts w:ascii="仿宋_GB2312" w:eastAsia="仿宋_GB2312" w:hAnsi="宋体" w:cs="宋体" w:hint="eastAsia"/>
          <w:kern w:val="0"/>
          <w:sz w:val="30"/>
          <w:szCs w:val="30"/>
        </w:rPr>
        <w:t>“水土不服”</w:t>
      </w:r>
      <w:r>
        <w:rPr>
          <w:rFonts w:ascii="仿宋_GB2312" w:eastAsia="仿宋_GB2312" w:hAnsi="宋体" w:cs="宋体" w:hint="eastAsia"/>
          <w:kern w:val="0"/>
          <w:sz w:val="30"/>
          <w:szCs w:val="30"/>
        </w:rPr>
        <w:t>的结论</w:t>
      </w:r>
      <w:r w:rsidRPr="00D265D2">
        <w:rPr>
          <w:rFonts w:ascii="仿宋_GB2312" w:eastAsia="仿宋_GB2312" w:hAnsi="宋体" w:cs="宋体" w:hint="eastAsia"/>
          <w:kern w:val="0"/>
          <w:sz w:val="30"/>
          <w:szCs w:val="30"/>
        </w:rPr>
        <w:t>。故此基于实施条件暂不具备、现实环境尚不完善、制度实</w:t>
      </w:r>
      <w:r w:rsidRPr="00D265D2">
        <w:rPr>
          <w:rFonts w:ascii="仿宋_GB2312" w:eastAsia="仿宋_GB2312" w:hAnsi="宋体" w:cs="宋体" w:hint="eastAsia"/>
          <w:kern w:val="0"/>
          <w:sz w:val="30"/>
          <w:szCs w:val="30"/>
        </w:rPr>
        <w:lastRenderedPageBreak/>
        <w:t>效的不理想等多重考虑，</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省高院决定暂缓实施中级以上法院的初任法官选任</w:t>
      </w:r>
      <w:r>
        <w:rPr>
          <w:rFonts w:ascii="仿宋_GB2312" w:eastAsia="仿宋_GB2312" w:hAnsi="宋体" w:cs="宋体" w:hint="eastAsia"/>
          <w:kern w:val="0"/>
          <w:sz w:val="30"/>
          <w:szCs w:val="30"/>
        </w:rPr>
        <w:t>工作。可见，所处的微观制度环境极可能导致各地法院更可能自发</w:t>
      </w:r>
      <w:r w:rsidRPr="00D265D2">
        <w:rPr>
          <w:rFonts w:ascii="仿宋_GB2312" w:eastAsia="仿宋_GB2312" w:hAnsi="宋体" w:cs="宋体" w:hint="eastAsia"/>
          <w:kern w:val="0"/>
          <w:sz w:val="30"/>
          <w:szCs w:val="30"/>
        </w:rPr>
        <w:t>地选择将初任法官基层入额制度“束之高阁”。</w:t>
      </w:r>
    </w:p>
    <w:p w:rsidR="00372DA1" w:rsidRPr="00230AD7" w:rsidRDefault="00372DA1">
      <w:pPr>
        <w:pStyle w:val="a6"/>
        <w:numPr>
          <w:ilvl w:val="0"/>
          <w:numId w:val="23"/>
        </w:numPr>
        <w:ind w:firstLineChars="0"/>
        <w:rPr>
          <w:rFonts w:ascii="楷体" w:eastAsia="楷体" w:hAnsi="楷体" w:cs="宋体"/>
          <w:kern w:val="0"/>
          <w:sz w:val="30"/>
          <w:szCs w:val="30"/>
        </w:rPr>
      </w:pPr>
      <w:r w:rsidRPr="00230AD7">
        <w:rPr>
          <w:rFonts w:ascii="楷体" w:eastAsia="楷体" w:hAnsi="楷体" w:cs="宋体" w:hint="eastAsia"/>
          <w:kern w:val="0"/>
          <w:sz w:val="30"/>
          <w:szCs w:val="30"/>
        </w:rPr>
        <w:t>现实因素</w:t>
      </w:r>
      <w:r w:rsidRPr="00230AD7">
        <w:rPr>
          <w:rFonts w:ascii="楷体" w:eastAsia="楷体" w:hAnsi="楷体" w:cs="宋体"/>
          <w:kern w:val="0"/>
          <w:sz w:val="30"/>
          <w:szCs w:val="30"/>
        </w:rPr>
        <w:t>——</w:t>
      </w:r>
      <w:r w:rsidRPr="00230AD7">
        <w:rPr>
          <w:rFonts w:ascii="楷体" w:eastAsia="楷体" w:hAnsi="楷体" w:cs="宋体" w:hint="eastAsia"/>
          <w:kern w:val="0"/>
          <w:sz w:val="30"/>
          <w:szCs w:val="30"/>
        </w:rPr>
        <w:t>基层入额制的客观现实制约</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微观制度环境的差异。</w:t>
      </w:r>
      <w:r w:rsidRPr="00D265D2">
        <w:rPr>
          <w:rFonts w:ascii="仿宋_GB2312" w:eastAsia="仿宋_GB2312" w:hAnsi="宋体" w:cs="宋体" w:hint="eastAsia"/>
          <w:kern w:val="0"/>
          <w:sz w:val="30"/>
          <w:szCs w:val="30"/>
        </w:rPr>
        <w:t>微观制度环境的差异化是“一元式”基层入额制度的现实阻却因素。试图在差异化的环境中强制推行</w:t>
      </w:r>
      <w:r>
        <w:rPr>
          <w:rFonts w:ascii="仿宋_GB2312" w:eastAsia="仿宋_GB2312" w:hAnsi="宋体" w:cs="宋体" w:hint="eastAsia"/>
          <w:kern w:val="0"/>
          <w:sz w:val="30"/>
          <w:szCs w:val="30"/>
        </w:rPr>
        <w:t>统一性</w:t>
      </w:r>
      <w:r w:rsidRPr="00D265D2">
        <w:rPr>
          <w:rFonts w:ascii="仿宋_GB2312" w:eastAsia="仿宋_GB2312" w:hAnsi="宋体" w:cs="宋体" w:hint="eastAsia"/>
          <w:kern w:val="0"/>
          <w:sz w:val="30"/>
          <w:szCs w:val="30"/>
        </w:rPr>
        <w:t>的制度，现实可行性有待进一步探讨，制度实效性可能也会大大弱化。毕竟，会否导致中级</w:t>
      </w:r>
      <w:r>
        <w:rPr>
          <w:rFonts w:ascii="仿宋_GB2312" w:eastAsia="仿宋_GB2312" w:hAnsi="宋体" w:cs="宋体" w:hint="eastAsia"/>
          <w:kern w:val="0"/>
          <w:sz w:val="30"/>
          <w:szCs w:val="30"/>
        </w:rPr>
        <w:t>以上法院法官助理入口障碍，导致中级以上法院法官助理断层？在如何到基层入额上，采取中级以上法院与基层法院</w:t>
      </w:r>
      <w:r w:rsidRPr="00D265D2">
        <w:rPr>
          <w:rFonts w:ascii="仿宋_GB2312" w:eastAsia="仿宋_GB2312" w:hAnsi="宋体" w:cs="宋体" w:hint="eastAsia"/>
          <w:kern w:val="0"/>
          <w:sz w:val="30"/>
          <w:szCs w:val="30"/>
        </w:rPr>
        <w:t>统一标准竞争模式还是各级法院分别竞争模式？如果统一标准竞争，是否对偏远落后地区基层法院的法官助理产生地域性、层级性的不公平？如果分别进行竞争，由于发达地区与落后地区、高层级法院与基层法院的人才存量与素质存在差异，如何保证按照相对一致的评</w:t>
      </w:r>
      <w:r>
        <w:rPr>
          <w:rFonts w:ascii="仿宋_GB2312" w:eastAsia="仿宋_GB2312" w:hAnsi="宋体" w:cs="宋体" w:hint="eastAsia"/>
          <w:kern w:val="0"/>
          <w:sz w:val="30"/>
          <w:szCs w:val="30"/>
        </w:rPr>
        <w:t>价标准选拔法官，避免产生新的不公平？这都是基层入额制度亟待</w:t>
      </w:r>
      <w:r w:rsidRPr="00D265D2">
        <w:rPr>
          <w:rFonts w:ascii="仿宋_GB2312" w:eastAsia="仿宋_GB2312" w:hAnsi="宋体" w:cs="宋体" w:hint="eastAsia"/>
          <w:kern w:val="0"/>
          <w:sz w:val="30"/>
          <w:szCs w:val="30"/>
        </w:rPr>
        <w:t>解决的问题。</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地域环境的制约。</w:t>
      </w:r>
      <w:r>
        <w:rPr>
          <w:rFonts w:ascii="仿宋_GB2312" w:eastAsia="仿宋_GB2312" w:hAnsi="宋体" w:cs="宋体" w:hint="eastAsia"/>
          <w:kern w:val="0"/>
          <w:sz w:val="30"/>
          <w:szCs w:val="30"/>
        </w:rPr>
        <w:t>全国四级法院初任法官一律在基层任职，</w:t>
      </w:r>
      <w:r w:rsidRPr="00D265D2">
        <w:rPr>
          <w:rFonts w:ascii="仿宋_GB2312" w:eastAsia="仿宋_GB2312" w:hAnsi="宋体" w:cs="宋体" w:hint="eastAsia"/>
          <w:kern w:val="0"/>
          <w:sz w:val="30"/>
          <w:szCs w:val="30"/>
        </w:rPr>
        <w:t>面临着严重的地域性制约。如果实行法院所在地基层入额，无疑会大幅增加基层法院接收中级以上法院初任法官的压力，对基层法院</w:t>
      </w:r>
      <w:r>
        <w:rPr>
          <w:rFonts w:ascii="仿宋_GB2312" w:eastAsia="仿宋_GB2312" w:hAnsi="宋体" w:cs="宋体" w:hint="eastAsia"/>
          <w:kern w:val="0"/>
          <w:sz w:val="30"/>
          <w:szCs w:val="30"/>
        </w:rPr>
        <w:t>的法官助理造成实质不公平。如果实行全国范围统筹，那么地域制约必然成为中级</w:t>
      </w:r>
      <w:r w:rsidRPr="00D265D2">
        <w:rPr>
          <w:rFonts w:ascii="仿宋_GB2312" w:eastAsia="仿宋_GB2312" w:hAnsi="宋体" w:cs="宋体" w:hint="eastAsia"/>
          <w:kern w:val="0"/>
          <w:sz w:val="30"/>
          <w:szCs w:val="30"/>
        </w:rPr>
        <w:t>以上法院</w:t>
      </w:r>
      <w:r>
        <w:rPr>
          <w:rFonts w:ascii="仿宋_GB2312" w:eastAsia="仿宋_GB2312" w:hAnsi="宋体" w:cs="宋体" w:hint="eastAsia"/>
          <w:kern w:val="0"/>
          <w:sz w:val="30"/>
          <w:szCs w:val="30"/>
        </w:rPr>
        <w:t>法官助理</w:t>
      </w:r>
      <w:r w:rsidRPr="00D265D2">
        <w:rPr>
          <w:rFonts w:ascii="仿宋_GB2312" w:eastAsia="仿宋_GB2312" w:hAnsi="宋体" w:cs="宋体" w:hint="eastAsia"/>
          <w:kern w:val="0"/>
          <w:sz w:val="30"/>
          <w:szCs w:val="30"/>
        </w:rPr>
        <w:t>的关键考虑因素之一。以最高院为例，其初任法官理论上可能在全国</w:t>
      </w:r>
      <w:r>
        <w:rPr>
          <w:rFonts w:ascii="仿宋_GB2312" w:eastAsia="仿宋_GB2312" w:hAnsi="宋体" w:cs="宋体" w:hint="eastAsia"/>
          <w:kern w:val="0"/>
          <w:sz w:val="30"/>
          <w:szCs w:val="30"/>
        </w:rPr>
        <w:t>范围内</w:t>
      </w:r>
      <w:r w:rsidRPr="00D265D2">
        <w:rPr>
          <w:rFonts w:ascii="仿宋_GB2312" w:eastAsia="仿宋_GB2312" w:hAnsi="宋体" w:cs="宋体" w:hint="eastAsia"/>
          <w:kern w:val="0"/>
          <w:sz w:val="30"/>
          <w:szCs w:val="30"/>
        </w:rPr>
        <w:t>某一个基层法院入额工作，以此类推至各省高院以及各地市中院，地</w:t>
      </w:r>
      <w:r w:rsidRPr="00D265D2">
        <w:rPr>
          <w:rFonts w:ascii="仿宋_GB2312" w:eastAsia="仿宋_GB2312" w:hAnsi="宋体" w:cs="宋体" w:hint="eastAsia"/>
          <w:kern w:val="0"/>
          <w:sz w:val="30"/>
          <w:szCs w:val="30"/>
        </w:rPr>
        <w:lastRenderedPageBreak/>
        <w:t>域环境因素将导致</w:t>
      </w:r>
      <w:r>
        <w:rPr>
          <w:rFonts w:ascii="仿宋_GB2312" w:eastAsia="仿宋_GB2312" w:hAnsi="宋体" w:cs="宋体" w:hint="eastAsia"/>
          <w:kern w:val="0"/>
          <w:sz w:val="30"/>
          <w:szCs w:val="30"/>
        </w:rPr>
        <w:t>初任法官</w:t>
      </w:r>
      <w:r w:rsidRPr="00D265D2">
        <w:rPr>
          <w:rFonts w:ascii="仿宋_GB2312" w:eastAsia="仿宋_GB2312" w:hAnsi="宋体" w:cs="宋体" w:hint="eastAsia"/>
          <w:kern w:val="0"/>
          <w:sz w:val="30"/>
          <w:szCs w:val="30"/>
        </w:rPr>
        <w:t>家庭异地、工作易地、环境变迁，产生一系列的适应成本、抵触成本。</w:t>
      </w:r>
    </w:p>
    <w:p w:rsidR="00372DA1" w:rsidRPr="00D265D2" w:rsidRDefault="00372DA1" w:rsidP="00950824">
      <w:pPr>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3.</w:t>
      </w:r>
      <w:r w:rsidRPr="00230AD7">
        <w:rPr>
          <w:rFonts w:ascii="仿宋_GB2312" w:eastAsia="仿宋_GB2312" w:hAnsi="宋体" w:cs="宋体" w:hint="eastAsia"/>
          <w:b/>
          <w:kern w:val="0"/>
          <w:sz w:val="30"/>
          <w:szCs w:val="30"/>
        </w:rPr>
        <w:t>特殊审判领域的限制。</w:t>
      </w:r>
      <w:r w:rsidRPr="00D265D2">
        <w:rPr>
          <w:rFonts w:ascii="仿宋_GB2312" w:eastAsia="仿宋_GB2312" w:hAnsi="宋体" w:cs="宋体" w:hint="eastAsia"/>
          <w:kern w:val="0"/>
          <w:sz w:val="30"/>
          <w:szCs w:val="30"/>
        </w:rPr>
        <w:t>基层入额制度难以满足特殊审判领域对法官特定审判经验的需求。以破产审判领域为例，截止</w:t>
      </w:r>
      <w:r w:rsidRPr="00D265D2">
        <w:rPr>
          <w:rFonts w:ascii="仿宋_GB2312" w:eastAsia="仿宋_GB2312" w:hAnsi="宋体" w:cs="宋体"/>
          <w:kern w:val="0"/>
          <w:sz w:val="30"/>
          <w:szCs w:val="30"/>
        </w:rPr>
        <w:t>2018</w:t>
      </w:r>
      <w:r w:rsidRPr="00D265D2">
        <w:rPr>
          <w:rFonts w:ascii="仿宋_GB2312" w:eastAsia="仿宋_GB2312" w:hAnsi="宋体" w:cs="宋体" w:hint="eastAsia"/>
          <w:kern w:val="0"/>
          <w:sz w:val="30"/>
          <w:szCs w:val="30"/>
        </w:rPr>
        <w:t>年</w:t>
      </w:r>
      <w:r w:rsidRPr="00D265D2">
        <w:rPr>
          <w:rFonts w:ascii="仿宋_GB2312" w:eastAsia="仿宋_GB2312" w:hAnsi="宋体" w:cs="宋体"/>
          <w:kern w:val="0"/>
          <w:sz w:val="30"/>
          <w:szCs w:val="30"/>
        </w:rPr>
        <w:t>6</w:t>
      </w:r>
      <w:r w:rsidRPr="00D265D2">
        <w:rPr>
          <w:rFonts w:ascii="仿宋_GB2312" w:eastAsia="仿宋_GB2312" w:hAnsi="宋体" w:cs="宋体" w:hint="eastAsia"/>
          <w:kern w:val="0"/>
          <w:sz w:val="30"/>
          <w:szCs w:val="30"/>
        </w:rPr>
        <w:t>月，</w:t>
      </w:r>
      <w:r w:rsidRPr="00D265D2">
        <w:rPr>
          <w:rFonts w:ascii="仿宋_GB2312" w:eastAsia="仿宋_GB2312" w:hAnsi="宋体" w:cs="宋体"/>
          <w:kern w:val="0"/>
          <w:sz w:val="30"/>
          <w:szCs w:val="30"/>
        </w:rPr>
        <w:t>G</w:t>
      </w:r>
      <w:r>
        <w:rPr>
          <w:rFonts w:ascii="仿宋_GB2312" w:eastAsia="仿宋_GB2312" w:hAnsi="宋体" w:cs="宋体" w:hint="eastAsia"/>
          <w:kern w:val="0"/>
          <w:sz w:val="30"/>
          <w:szCs w:val="30"/>
        </w:rPr>
        <w:t>市</w:t>
      </w:r>
      <w:r w:rsidRPr="00D265D2">
        <w:rPr>
          <w:rFonts w:ascii="仿宋_GB2312" w:eastAsia="仿宋_GB2312" w:hAnsi="宋体" w:cs="宋体"/>
          <w:kern w:val="0"/>
          <w:sz w:val="30"/>
          <w:szCs w:val="30"/>
        </w:rPr>
        <w:t>11</w:t>
      </w:r>
      <w:r w:rsidRPr="00D265D2">
        <w:rPr>
          <w:rFonts w:ascii="仿宋_GB2312" w:eastAsia="仿宋_GB2312" w:hAnsi="宋体" w:cs="宋体" w:hint="eastAsia"/>
          <w:kern w:val="0"/>
          <w:sz w:val="30"/>
          <w:szCs w:val="30"/>
        </w:rPr>
        <w:t>个基层法院中从事破产审判的法官基本为</w:t>
      </w:r>
      <w:r w:rsidRPr="00D265D2">
        <w:rPr>
          <w:rFonts w:ascii="仿宋_GB2312" w:eastAsia="仿宋_GB2312" w:hAnsi="宋体" w:cs="宋体"/>
          <w:kern w:val="0"/>
          <w:sz w:val="30"/>
          <w:szCs w:val="30"/>
        </w:rPr>
        <w:t>1-2</w:t>
      </w:r>
      <w:r w:rsidRPr="00D265D2">
        <w:rPr>
          <w:rFonts w:ascii="仿宋_GB2312" w:eastAsia="仿宋_GB2312" w:hAnsi="宋体" w:cs="宋体" w:hint="eastAsia"/>
          <w:kern w:val="0"/>
          <w:sz w:val="30"/>
          <w:szCs w:val="30"/>
        </w:rPr>
        <w:t>人且</w:t>
      </w:r>
      <w:r w:rsidRPr="00D265D2">
        <w:rPr>
          <w:rFonts w:ascii="仿宋_GB2312" w:eastAsia="仿宋_GB2312" w:hAnsi="宋体" w:cs="宋体"/>
          <w:kern w:val="0"/>
          <w:sz w:val="30"/>
          <w:szCs w:val="30"/>
        </w:rPr>
        <w:t>1</w:t>
      </w:r>
      <w:r w:rsidRPr="00D265D2">
        <w:rPr>
          <w:rFonts w:ascii="仿宋_GB2312" w:eastAsia="仿宋_GB2312" w:hAnsi="宋体" w:cs="宋体" w:hint="eastAsia"/>
          <w:kern w:val="0"/>
          <w:sz w:val="30"/>
          <w:szCs w:val="30"/>
        </w:rPr>
        <w:t>人占比超过</w:t>
      </w:r>
      <w:r w:rsidRPr="00D265D2">
        <w:rPr>
          <w:rFonts w:ascii="仿宋_GB2312" w:eastAsia="仿宋_GB2312" w:hAnsi="宋体" w:cs="宋体"/>
          <w:kern w:val="0"/>
          <w:sz w:val="30"/>
          <w:szCs w:val="30"/>
        </w:rPr>
        <w:t>50%</w:t>
      </w:r>
      <w:r w:rsidRPr="00D265D2">
        <w:rPr>
          <w:rFonts w:ascii="仿宋_GB2312" w:eastAsia="仿宋_GB2312" w:hAnsi="宋体" w:cs="宋体" w:hint="eastAsia"/>
          <w:kern w:val="0"/>
          <w:sz w:val="30"/>
          <w:szCs w:val="30"/>
        </w:rPr>
        <w:t>，而</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市中院为</w:t>
      </w:r>
      <w:r w:rsidRPr="00D265D2">
        <w:rPr>
          <w:rFonts w:ascii="仿宋_GB2312" w:eastAsia="仿宋_GB2312" w:hAnsi="宋体" w:cs="宋体"/>
          <w:kern w:val="0"/>
          <w:sz w:val="30"/>
          <w:szCs w:val="30"/>
        </w:rPr>
        <w:t>10</w:t>
      </w:r>
      <w:r w:rsidRPr="00D265D2">
        <w:rPr>
          <w:rFonts w:ascii="仿宋_GB2312" w:eastAsia="仿宋_GB2312" w:hAnsi="宋体" w:cs="宋体" w:hint="eastAsia"/>
          <w:kern w:val="0"/>
          <w:sz w:val="30"/>
          <w:szCs w:val="30"/>
        </w:rPr>
        <w:t>人，</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省高院为</w:t>
      </w:r>
      <w:r w:rsidRPr="00D265D2">
        <w:rPr>
          <w:rFonts w:ascii="仿宋_GB2312" w:eastAsia="仿宋_GB2312" w:hAnsi="宋体" w:cs="宋体"/>
          <w:kern w:val="0"/>
          <w:sz w:val="30"/>
          <w:szCs w:val="30"/>
        </w:rPr>
        <w:t xml:space="preserve"> 7</w:t>
      </w:r>
      <w:r w:rsidRPr="00D265D2">
        <w:rPr>
          <w:rFonts w:ascii="仿宋_GB2312" w:eastAsia="仿宋_GB2312" w:hAnsi="宋体" w:cs="宋体" w:hint="eastAsia"/>
          <w:kern w:val="0"/>
          <w:sz w:val="30"/>
          <w:szCs w:val="30"/>
        </w:rPr>
        <w:t>人。与法官人数对应的是破产案件数量，</w:t>
      </w:r>
      <w:r w:rsidRPr="00D265D2">
        <w:rPr>
          <w:rFonts w:ascii="仿宋_GB2312" w:eastAsia="仿宋_GB2312" w:hAnsi="宋体" w:cs="宋体"/>
          <w:kern w:val="0"/>
          <w:sz w:val="30"/>
          <w:szCs w:val="30"/>
        </w:rPr>
        <w:t>2017</w:t>
      </w:r>
      <w:r w:rsidRPr="00D265D2">
        <w:rPr>
          <w:rFonts w:ascii="仿宋_GB2312" w:eastAsia="仿宋_GB2312" w:hAnsi="宋体" w:cs="宋体" w:hint="eastAsia"/>
          <w:kern w:val="0"/>
          <w:sz w:val="30"/>
          <w:szCs w:val="30"/>
        </w:rPr>
        <w:t>年度</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市</w:t>
      </w:r>
      <w:r w:rsidRPr="00D265D2">
        <w:rPr>
          <w:rFonts w:ascii="仿宋_GB2312" w:eastAsia="仿宋_GB2312" w:hAnsi="宋体" w:cs="宋体"/>
          <w:kern w:val="0"/>
          <w:sz w:val="30"/>
          <w:szCs w:val="30"/>
        </w:rPr>
        <w:t>11</w:t>
      </w:r>
      <w:r w:rsidRPr="00D265D2">
        <w:rPr>
          <w:rFonts w:ascii="仿宋_GB2312" w:eastAsia="仿宋_GB2312" w:hAnsi="宋体" w:cs="宋体" w:hint="eastAsia"/>
          <w:kern w:val="0"/>
          <w:sz w:val="30"/>
          <w:szCs w:val="30"/>
        </w:rPr>
        <w:t>个基层法院审理的涉破产案件均在</w:t>
      </w:r>
      <w:r w:rsidRPr="00D265D2">
        <w:rPr>
          <w:rFonts w:ascii="仿宋_GB2312" w:eastAsia="仿宋_GB2312" w:hAnsi="宋体" w:cs="宋体"/>
          <w:kern w:val="0"/>
          <w:sz w:val="30"/>
          <w:szCs w:val="30"/>
        </w:rPr>
        <w:t>10</w:t>
      </w:r>
      <w:r w:rsidRPr="00D265D2">
        <w:rPr>
          <w:rFonts w:ascii="仿宋_GB2312" w:eastAsia="仿宋_GB2312" w:hAnsi="宋体" w:cs="宋体" w:hint="eastAsia"/>
          <w:kern w:val="0"/>
          <w:sz w:val="30"/>
          <w:szCs w:val="30"/>
        </w:rPr>
        <w:t>件以内，</w:t>
      </w:r>
      <w:r w:rsidRPr="00D265D2">
        <w:rPr>
          <w:rFonts w:ascii="仿宋_GB2312" w:eastAsia="仿宋_GB2312" w:hAnsi="宋体" w:cs="宋体"/>
          <w:kern w:val="0"/>
          <w:sz w:val="30"/>
          <w:szCs w:val="30"/>
        </w:rPr>
        <w:t>5</w:t>
      </w:r>
      <w:r w:rsidRPr="00D265D2">
        <w:rPr>
          <w:rFonts w:ascii="仿宋_GB2312" w:eastAsia="仿宋_GB2312" w:hAnsi="宋体" w:cs="宋体" w:hint="eastAsia"/>
          <w:kern w:val="0"/>
          <w:sz w:val="30"/>
          <w:szCs w:val="30"/>
        </w:rPr>
        <w:t>件以下的占比</w:t>
      </w:r>
      <w:r w:rsidRPr="00D265D2">
        <w:rPr>
          <w:rFonts w:ascii="仿宋_GB2312" w:eastAsia="仿宋_GB2312" w:hAnsi="宋体" w:cs="宋体"/>
          <w:kern w:val="0"/>
          <w:sz w:val="30"/>
          <w:szCs w:val="30"/>
        </w:rPr>
        <w:t>54.5%</w:t>
      </w:r>
      <w:r w:rsidRPr="00D265D2">
        <w:rPr>
          <w:rFonts w:ascii="仿宋_GB2312" w:eastAsia="仿宋_GB2312" w:hAnsi="宋体" w:cs="宋体" w:hint="eastAsia"/>
          <w:kern w:val="0"/>
          <w:sz w:val="30"/>
          <w:szCs w:val="30"/>
        </w:rPr>
        <w:t>；而</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市中院达到</w:t>
      </w:r>
      <w:r w:rsidRPr="00D265D2">
        <w:rPr>
          <w:rFonts w:ascii="仿宋_GB2312" w:eastAsia="仿宋_GB2312" w:hAnsi="宋体" w:cs="宋体"/>
          <w:kern w:val="0"/>
          <w:sz w:val="30"/>
          <w:szCs w:val="30"/>
        </w:rPr>
        <w:t>354</w:t>
      </w:r>
      <w:r w:rsidRPr="00D265D2">
        <w:rPr>
          <w:rFonts w:ascii="仿宋_GB2312" w:eastAsia="仿宋_GB2312" w:hAnsi="宋体" w:cs="宋体" w:hint="eastAsia"/>
          <w:kern w:val="0"/>
          <w:sz w:val="30"/>
          <w:szCs w:val="30"/>
        </w:rPr>
        <w:t>件，</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省高院为</w:t>
      </w:r>
      <w:r w:rsidRPr="00D265D2">
        <w:rPr>
          <w:rFonts w:ascii="仿宋_GB2312" w:eastAsia="仿宋_GB2312" w:hAnsi="宋体" w:cs="宋体"/>
          <w:kern w:val="0"/>
          <w:sz w:val="30"/>
          <w:szCs w:val="30"/>
        </w:rPr>
        <w:t>86</w:t>
      </w:r>
      <w:r w:rsidRPr="00D265D2">
        <w:rPr>
          <w:rFonts w:ascii="仿宋_GB2312" w:eastAsia="仿宋_GB2312" w:hAnsi="宋体" w:cs="宋体" w:hint="eastAsia"/>
          <w:kern w:val="0"/>
          <w:sz w:val="30"/>
          <w:szCs w:val="30"/>
        </w:rPr>
        <w:t>件。在对</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市两级法院全部</w:t>
      </w:r>
      <w:r w:rsidRPr="00D265D2">
        <w:rPr>
          <w:rFonts w:ascii="仿宋_GB2312" w:eastAsia="仿宋_GB2312" w:hAnsi="宋体" w:cs="宋体"/>
          <w:kern w:val="0"/>
          <w:sz w:val="30"/>
          <w:szCs w:val="30"/>
        </w:rPr>
        <w:t>25</w:t>
      </w:r>
      <w:r w:rsidRPr="00D265D2">
        <w:rPr>
          <w:rFonts w:ascii="仿宋_GB2312" w:eastAsia="仿宋_GB2312" w:hAnsi="宋体" w:cs="宋体" w:hint="eastAsia"/>
          <w:kern w:val="0"/>
          <w:sz w:val="30"/>
          <w:szCs w:val="30"/>
        </w:rPr>
        <w:t>名破产法官以及</w:t>
      </w:r>
      <w:r w:rsidRPr="00D265D2">
        <w:rPr>
          <w:rFonts w:ascii="仿宋_GB2312" w:eastAsia="仿宋_GB2312" w:hAnsi="宋体" w:cs="宋体"/>
          <w:kern w:val="0"/>
          <w:sz w:val="30"/>
          <w:szCs w:val="30"/>
        </w:rPr>
        <w:t>33</w:t>
      </w:r>
      <w:r>
        <w:rPr>
          <w:rFonts w:ascii="仿宋_GB2312" w:eastAsia="仿宋_GB2312" w:hAnsi="宋体" w:cs="宋体" w:hint="eastAsia"/>
          <w:kern w:val="0"/>
          <w:sz w:val="30"/>
          <w:szCs w:val="30"/>
        </w:rPr>
        <w:t>名破产法官助理的访谈</w:t>
      </w:r>
      <w:r w:rsidRPr="00D265D2">
        <w:rPr>
          <w:rFonts w:ascii="仿宋_GB2312" w:eastAsia="仿宋_GB2312" w:hAnsi="宋体" w:cs="宋体" w:hint="eastAsia"/>
          <w:kern w:val="0"/>
          <w:sz w:val="30"/>
          <w:szCs w:val="30"/>
        </w:rPr>
        <w:t>得出，在破产审判领域，低于</w:t>
      </w:r>
      <w:r w:rsidRPr="00D265D2">
        <w:rPr>
          <w:rFonts w:ascii="仿宋_GB2312" w:eastAsia="仿宋_GB2312" w:hAnsi="宋体" w:cs="宋体"/>
          <w:kern w:val="0"/>
          <w:sz w:val="30"/>
          <w:szCs w:val="30"/>
        </w:rPr>
        <w:t>10</w:t>
      </w:r>
      <w:r w:rsidRPr="00D265D2">
        <w:rPr>
          <w:rFonts w:ascii="仿宋_GB2312" w:eastAsia="仿宋_GB2312" w:hAnsi="宋体" w:cs="宋体" w:hint="eastAsia"/>
          <w:kern w:val="0"/>
          <w:sz w:val="30"/>
          <w:szCs w:val="30"/>
        </w:rPr>
        <w:t>年以上的培养周期，难以养成一名合格的破产法官；基层法院以个位数计的破产案件数量，无法满足破产法官养成的基本需求；</w:t>
      </w:r>
      <w:r>
        <w:rPr>
          <w:rFonts w:ascii="仿宋_GB2312" w:eastAsia="仿宋_GB2312" w:hAnsi="宋体" w:cs="宋体" w:hint="eastAsia"/>
          <w:kern w:val="0"/>
          <w:sz w:val="30"/>
          <w:szCs w:val="30"/>
        </w:rPr>
        <w:t>逐级遴选制度难以解决中级以上法院破产法官的</w:t>
      </w:r>
      <w:r w:rsidR="00E73F76" w:rsidRPr="00E73F76">
        <w:rPr>
          <w:noProof/>
        </w:rPr>
        <w:pict>
          <v:shape id="_x0000_s1030" type="#_x0000_t75" style="position:absolute;left:0;text-align:left;margin-left:-27.75pt;margin-top:382.05pt;width:470.8pt;height:162.15pt;z-index:3;mso-position-horizontal-relative:margin;mso-position-vertical-relative:margin">
            <v:imagedata r:id="rId9" o:title=""/>
            <w10:wrap type="square" anchorx="margin" anchory="margin"/>
          </v:shape>
        </w:pict>
      </w:r>
      <w:r>
        <w:rPr>
          <w:rFonts w:ascii="仿宋_GB2312" w:eastAsia="仿宋_GB2312" w:hAnsi="宋体" w:cs="宋体" w:hint="eastAsia"/>
          <w:kern w:val="0"/>
          <w:sz w:val="30"/>
          <w:szCs w:val="30"/>
        </w:rPr>
        <w:t>数量和质量上的保障。否则一个周期</w:t>
      </w:r>
      <w:r w:rsidRPr="00D265D2">
        <w:rPr>
          <w:rFonts w:ascii="仿宋_GB2312" w:eastAsia="仿宋_GB2312" w:hAnsi="宋体" w:cs="宋体" w:hint="eastAsia"/>
          <w:kern w:val="0"/>
          <w:sz w:val="30"/>
          <w:szCs w:val="30"/>
        </w:rPr>
        <w:t>后将陷入破产法官数量缺口大、专业水平低的恶性循环困境。</w:t>
      </w:r>
    </w:p>
    <w:p w:rsidR="00372DA1" w:rsidRPr="00230AD7" w:rsidRDefault="00372DA1" w:rsidP="00950824">
      <w:pPr>
        <w:ind w:firstLineChars="200" w:firstLine="600"/>
        <w:rPr>
          <w:rFonts w:ascii="楷体" w:eastAsia="楷体" w:hAnsi="楷体" w:cs="宋体"/>
          <w:kern w:val="0"/>
          <w:sz w:val="30"/>
          <w:szCs w:val="30"/>
        </w:rPr>
      </w:pPr>
      <w:r w:rsidRPr="00230AD7">
        <w:rPr>
          <w:rFonts w:ascii="楷体" w:eastAsia="楷体" w:hAnsi="楷体" w:cs="宋体" w:hint="eastAsia"/>
          <w:kern w:val="0"/>
          <w:sz w:val="30"/>
          <w:szCs w:val="30"/>
        </w:rPr>
        <w:t>（三）制度因素</w:t>
      </w:r>
      <w:r w:rsidRPr="00230AD7">
        <w:rPr>
          <w:rFonts w:ascii="楷体" w:eastAsia="楷体" w:hAnsi="楷体" w:cs="宋体"/>
          <w:kern w:val="0"/>
          <w:sz w:val="30"/>
          <w:szCs w:val="30"/>
        </w:rPr>
        <w:t>——</w:t>
      </w:r>
      <w:r w:rsidRPr="00230AD7">
        <w:rPr>
          <w:rFonts w:ascii="楷体" w:eastAsia="楷体" w:hAnsi="楷体" w:cs="宋体" w:hint="eastAsia"/>
          <w:kern w:val="0"/>
          <w:sz w:val="30"/>
          <w:szCs w:val="30"/>
        </w:rPr>
        <w:t>基层入额制度自身设计的局限</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深化司法体制综合配套制度改革</w:t>
      </w:r>
      <w:r>
        <w:rPr>
          <w:rFonts w:ascii="仿宋_GB2312" w:eastAsia="仿宋_GB2312" w:hAnsi="宋体" w:cs="宋体" w:hint="eastAsia"/>
          <w:kern w:val="0"/>
          <w:sz w:val="30"/>
          <w:szCs w:val="30"/>
        </w:rPr>
        <w:t>能否成功的关键，不仅在于</w:t>
      </w:r>
      <w:r w:rsidRPr="00D265D2">
        <w:rPr>
          <w:rFonts w:ascii="仿宋_GB2312" w:eastAsia="仿宋_GB2312" w:hAnsi="宋体" w:cs="宋体" w:hint="eastAsia"/>
          <w:kern w:val="0"/>
          <w:sz w:val="30"/>
          <w:szCs w:val="30"/>
        </w:rPr>
        <w:lastRenderedPageBreak/>
        <w:t>宏观制度的构建，更依赖</w:t>
      </w:r>
      <w:r>
        <w:rPr>
          <w:rFonts w:ascii="仿宋_GB2312" w:eastAsia="仿宋_GB2312" w:hAnsi="宋体" w:cs="宋体" w:hint="eastAsia"/>
          <w:kern w:val="0"/>
          <w:sz w:val="30"/>
          <w:szCs w:val="30"/>
        </w:rPr>
        <w:t>于</w:t>
      </w:r>
      <w:r w:rsidRPr="00D265D2">
        <w:rPr>
          <w:rFonts w:ascii="仿宋_GB2312" w:eastAsia="仿宋_GB2312" w:hAnsi="宋体" w:cs="宋体" w:hint="eastAsia"/>
          <w:kern w:val="0"/>
          <w:sz w:val="30"/>
          <w:szCs w:val="30"/>
        </w:rPr>
        <w:t>制度细节的设定</w:t>
      </w:r>
      <w:r w:rsidRPr="00D265D2">
        <w:rPr>
          <w:rFonts w:ascii="仿宋_GB2312" w:eastAsia="仿宋_GB2312" w:hAnsi="宋体" w:cs="宋体"/>
          <w:kern w:val="0"/>
          <w:sz w:val="30"/>
          <w:szCs w:val="30"/>
        </w:rPr>
        <w:t>——</w:t>
      </w:r>
      <w:r w:rsidRPr="00D265D2">
        <w:rPr>
          <w:rFonts w:ascii="仿宋_GB2312" w:eastAsia="仿宋_GB2312" w:hAnsi="宋体" w:cs="宋体" w:hint="eastAsia"/>
          <w:kern w:val="0"/>
          <w:sz w:val="30"/>
          <w:szCs w:val="30"/>
        </w:rPr>
        <w:t>有时后者更加重要。</w:t>
      </w:r>
      <w:r>
        <w:rPr>
          <w:rStyle w:val="aa"/>
          <w:rFonts w:ascii="仿宋_GB2312" w:eastAsia="仿宋_GB2312" w:hAnsi="宋体" w:hint="eastAsia"/>
          <w:kern w:val="0"/>
          <w:sz w:val="30"/>
          <w:szCs w:val="30"/>
        </w:rPr>
        <w:footnoteReference w:customMarkFollows="1" w:id="21"/>
        <w:t>（</w:t>
      </w:r>
      <w:r>
        <w:rPr>
          <w:rStyle w:val="aa"/>
          <w:rFonts w:ascii="仿宋_GB2312" w:eastAsia="仿宋_GB2312" w:hAnsi="宋体"/>
          <w:kern w:val="0"/>
          <w:sz w:val="30"/>
          <w:szCs w:val="30"/>
        </w:rPr>
        <w:t>21</w:t>
      </w:r>
      <w:r>
        <w:rPr>
          <w:rStyle w:val="aa"/>
          <w:rFonts w:ascii="仿宋_GB2312" w:eastAsia="仿宋_GB2312" w:hAnsi="宋体" w:hint="eastAsia"/>
          <w:kern w:val="0"/>
          <w:sz w:val="30"/>
          <w:szCs w:val="30"/>
        </w:rPr>
        <w:t>）</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1.</w:t>
      </w:r>
      <w:r w:rsidRPr="00230AD7">
        <w:rPr>
          <w:rFonts w:ascii="仿宋_GB2312" w:eastAsia="仿宋_GB2312" w:hAnsi="宋体" w:cs="宋体" w:hint="eastAsia"/>
          <w:b/>
          <w:kern w:val="0"/>
          <w:sz w:val="30"/>
          <w:szCs w:val="30"/>
        </w:rPr>
        <w:t>基层入额制的可行性局限。</w:t>
      </w:r>
      <w:r>
        <w:rPr>
          <w:rFonts w:ascii="仿宋_GB2312" w:eastAsia="仿宋_GB2312" w:hAnsi="宋体" w:cs="宋体" w:hint="eastAsia"/>
          <w:kern w:val="0"/>
          <w:sz w:val="30"/>
          <w:szCs w:val="30"/>
        </w:rPr>
        <w:t>当前，</w:t>
      </w:r>
      <w:r w:rsidRPr="00D265D2">
        <w:rPr>
          <w:rFonts w:ascii="仿宋_GB2312" w:eastAsia="仿宋_GB2312" w:hAnsi="宋体" w:cs="宋体" w:hint="eastAsia"/>
          <w:kern w:val="0"/>
          <w:sz w:val="30"/>
          <w:szCs w:val="30"/>
        </w:rPr>
        <w:t>推进司法体制综合配套改革的进一步深化固然需要思虑周详的理想计划，但更应当在现行体制架构内寻找最具有现实可行性的改革措施作为突破口。</w:t>
      </w:r>
      <w:r>
        <w:rPr>
          <w:rStyle w:val="aa"/>
          <w:rFonts w:ascii="仿宋_GB2312" w:eastAsia="仿宋_GB2312" w:hAnsi="宋体" w:hint="eastAsia"/>
          <w:kern w:val="0"/>
          <w:sz w:val="30"/>
          <w:szCs w:val="30"/>
        </w:rPr>
        <w:footnoteReference w:customMarkFollows="1" w:id="22"/>
        <w:t>（</w:t>
      </w:r>
      <w:r>
        <w:rPr>
          <w:rStyle w:val="aa"/>
          <w:rFonts w:ascii="仿宋_GB2312" w:eastAsia="仿宋_GB2312" w:hAnsi="宋体"/>
          <w:kern w:val="0"/>
          <w:sz w:val="30"/>
          <w:szCs w:val="30"/>
        </w:rPr>
        <w:t>22</w:t>
      </w:r>
      <w:r>
        <w:rPr>
          <w:rStyle w:val="aa"/>
          <w:rFonts w:ascii="仿宋_GB2312" w:eastAsia="仿宋_GB2312" w:hAnsi="宋体" w:hint="eastAsia"/>
          <w:kern w:val="0"/>
          <w:sz w:val="30"/>
          <w:szCs w:val="30"/>
        </w:rPr>
        <w:t>）</w:t>
      </w:r>
      <w:r w:rsidRPr="00D265D2">
        <w:rPr>
          <w:rFonts w:ascii="仿宋_GB2312" w:eastAsia="仿宋_GB2312" w:hAnsi="宋体" w:cs="宋体" w:hint="eastAsia"/>
          <w:kern w:val="0"/>
          <w:sz w:val="30"/>
          <w:szCs w:val="30"/>
        </w:rPr>
        <w:t>在未充分考虑我国地域范围广阔、各级法院的实际情况差异较大、基层入额制度面临来自各级法院与法官助理的联合抵制等情况的前提下，在全国范围内全面推行“一元化”、无差别的初任法官基层入额制度，导致其现实可行性并不强。</w:t>
      </w:r>
    </w:p>
    <w:p w:rsidR="00372DA1" w:rsidRPr="00D265D2" w:rsidRDefault="00372DA1" w:rsidP="00950824">
      <w:pPr>
        <w:tabs>
          <w:tab w:val="left" w:pos="312"/>
        </w:tabs>
        <w:ind w:firstLineChars="200" w:firstLine="602"/>
        <w:rPr>
          <w:rFonts w:ascii="仿宋_GB2312" w:eastAsia="仿宋_GB2312" w:hAnsi="宋体" w:cs="宋体"/>
          <w:kern w:val="0"/>
          <w:sz w:val="30"/>
          <w:szCs w:val="30"/>
        </w:rPr>
      </w:pPr>
      <w:r w:rsidRPr="00230AD7">
        <w:rPr>
          <w:rFonts w:ascii="仿宋_GB2312" w:eastAsia="仿宋_GB2312" w:hAnsi="宋体" w:cs="宋体"/>
          <w:b/>
          <w:kern w:val="0"/>
          <w:sz w:val="30"/>
          <w:szCs w:val="30"/>
        </w:rPr>
        <w:t>2.</w:t>
      </w:r>
      <w:r w:rsidRPr="00230AD7">
        <w:rPr>
          <w:rFonts w:ascii="仿宋_GB2312" w:eastAsia="仿宋_GB2312" w:hAnsi="宋体" w:cs="宋体" w:hint="eastAsia"/>
          <w:b/>
          <w:kern w:val="0"/>
          <w:sz w:val="30"/>
          <w:szCs w:val="30"/>
        </w:rPr>
        <w:t>基层入额制的操作性局限。</w:t>
      </w:r>
      <w:r w:rsidRPr="00D265D2">
        <w:rPr>
          <w:rFonts w:ascii="仿宋_GB2312" w:eastAsia="仿宋_GB2312" w:hAnsi="宋体" w:cs="宋体" w:hint="eastAsia"/>
          <w:kern w:val="0"/>
          <w:sz w:val="30"/>
          <w:szCs w:val="30"/>
        </w:rPr>
        <w:t>关于初任法官下基层任职的方式，是实行组织关系流转的方式，还是采取交流任职的方式？关于初任法官下基层任职的法院，是自主选择还是组织安排？关于中级以上法院的初任法官下基层的地域，是采取原任职法院所在地原则，还是辖区内全部法院统一调配，或者由入额法官自由选择？一系列具体操作性问题都尚未明确，导致初任法官基层入额制度的可操作性存在很大的局限。</w:t>
      </w:r>
    </w:p>
    <w:p w:rsidR="00372DA1" w:rsidRPr="00230AD7" w:rsidRDefault="00372DA1" w:rsidP="001B1703">
      <w:pPr>
        <w:pStyle w:val="a6"/>
        <w:numPr>
          <w:ilvl w:val="0"/>
          <w:numId w:val="27"/>
        </w:numPr>
        <w:ind w:firstLineChars="0"/>
        <w:rPr>
          <w:rFonts w:ascii="黑体" w:eastAsia="黑体" w:hAnsi="黑体" w:cs="宋体"/>
          <w:kern w:val="0"/>
          <w:sz w:val="30"/>
          <w:szCs w:val="30"/>
        </w:rPr>
      </w:pPr>
      <w:r w:rsidRPr="00230AD7">
        <w:rPr>
          <w:rFonts w:ascii="黑体" w:eastAsia="黑体" w:hAnsi="黑体" w:cs="宋体" w:hint="eastAsia"/>
          <w:kern w:val="0"/>
          <w:sz w:val="30"/>
          <w:szCs w:val="30"/>
        </w:rPr>
        <w:t>进路：“渐进式”初任法官选任制度的构建</w:t>
      </w:r>
    </w:p>
    <w:p w:rsidR="00372DA1"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初任法官基层入额制度的实效羸弱、阻却巨大</w:t>
      </w:r>
      <w:r>
        <w:rPr>
          <w:rFonts w:ascii="仿宋_GB2312" w:eastAsia="仿宋_GB2312" w:hAnsi="宋体" w:cs="宋体" w:hint="eastAsia"/>
          <w:kern w:val="0"/>
          <w:sz w:val="30"/>
          <w:szCs w:val="30"/>
        </w:rPr>
        <w:t>，</w:t>
      </w:r>
      <w:r w:rsidRPr="00D265D2">
        <w:rPr>
          <w:rFonts w:ascii="仿宋_GB2312" w:eastAsia="仿宋_GB2312" w:hAnsi="宋体" w:cs="宋体" w:hint="eastAsia"/>
          <w:kern w:val="0"/>
          <w:sz w:val="30"/>
          <w:szCs w:val="30"/>
        </w:rPr>
        <w:t>深层次的根源还是制度与现实的耦合失序。</w:t>
      </w:r>
      <w:r>
        <w:rPr>
          <w:rFonts w:ascii="仿宋_GB2312" w:eastAsia="仿宋_GB2312" w:hAnsi="宋体" w:cs="宋体" w:hint="eastAsia"/>
          <w:kern w:val="0"/>
          <w:sz w:val="30"/>
          <w:szCs w:val="30"/>
        </w:rPr>
        <w:t>因此，必须在</w:t>
      </w:r>
      <w:r w:rsidRPr="00D265D2">
        <w:rPr>
          <w:rFonts w:ascii="仿宋_GB2312" w:eastAsia="仿宋_GB2312" w:hAnsi="宋体" w:cs="宋体" w:hint="eastAsia"/>
          <w:kern w:val="0"/>
          <w:sz w:val="30"/>
          <w:szCs w:val="30"/>
        </w:rPr>
        <w:t>尊重“东西南北中，家家法院都不同。初任法官选任制度，应该既是中国的，更是地</w:t>
      </w:r>
      <w:r w:rsidRPr="00D265D2">
        <w:rPr>
          <w:rFonts w:ascii="仿宋_GB2312" w:eastAsia="仿宋_GB2312" w:hAnsi="宋体" w:cs="宋体" w:hint="eastAsia"/>
          <w:kern w:val="0"/>
          <w:sz w:val="30"/>
          <w:szCs w:val="30"/>
        </w:rPr>
        <w:lastRenderedPageBreak/>
        <w:t>方的，其最根本的特性在于地方性”</w:t>
      </w:r>
      <w:r>
        <w:rPr>
          <w:rStyle w:val="aa"/>
          <w:rFonts w:ascii="仿宋_GB2312" w:eastAsia="仿宋_GB2312" w:hAnsi="宋体" w:hint="eastAsia"/>
          <w:kern w:val="0"/>
          <w:sz w:val="30"/>
          <w:szCs w:val="30"/>
        </w:rPr>
        <w:footnoteReference w:customMarkFollows="1" w:id="23"/>
        <w:t>（</w:t>
      </w:r>
      <w:r>
        <w:rPr>
          <w:rStyle w:val="aa"/>
          <w:rFonts w:ascii="仿宋_GB2312" w:eastAsia="仿宋_GB2312" w:hAnsi="宋体"/>
          <w:kern w:val="0"/>
          <w:sz w:val="30"/>
          <w:szCs w:val="30"/>
        </w:rPr>
        <w:t>23</w:t>
      </w:r>
      <w:r>
        <w:rPr>
          <w:rStyle w:val="aa"/>
          <w:rFonts w:ascii="仿宋_GB2312" w:eastAsia="仿宋_GB2312" w:hAnsi="宋体" w:hint="eastAsia"/>
          <w:kern w:val="0"/>
          <w:sz w:val="30"/>
          <w:szCs w:val="30"/>
        </w:rPr>
        <w:t>）</w:t>
      </w:r>
      <w:r>
        <w:rPr>
          <w:rFonts w:ascii="仿宋_GB2312" w:eastAsia="仿宋_GB2312" w:hAnsi="宋体" w:cs="宋体" w:hint="eastAsia"/>
          <w:kern w:val="0"/>
          <w:sz w:val="30"/>
          <w:szCs w:val="30"/>
        </w:rPr>
        <w:t>的大前提下，</w:t>
      </w:r>
      <w:r w:rsidRPr="00D265D2">
        <w:rPr>
          <w:rFonts w:ascii="仿宋_GB2312" w:eastAsia="仿宋_GB2312" w:hAnsi="宋体" w:cs="宋体" w:hint="eastAsia"/>
          <w:kern w:val="0"/>
          <w:sz w:val="30"/>
          <w:szCs w:val="30"/>
        </w:rPr>
        <w:t>采取“渐进式</w:t>
      </w:r>
      <w:r>
        <w:rPr>
          <w:rFonts w:ascii="仿宋_GB2312" w:eastAsia="仿宋_GB2312" w:hAnsi="宋体" w:cs="宋体" w:hint="eastAsia"/>
          <w:kern w:val="0"/>
          <w:sz w:val="30"/>
          <w:szCs w:val="30"/>
        </w:rPr>
        <w:t>”初任法官选任模式，方能避免南橘北枳的异化现象，实现法官</w:t>
      </w:r>
      <w:r w:rsidRPr="00D265D2">
        <w:rPr>
          <w:rFonts w:ascii="仿宋_GB2312" w:eastAsia="仿宋_GB2312" w:hAnsi="宋体" w:cs="宋体" w:hint="eastAsia"/>
          <w:kern w:val="0"/>
          <w:sz w:val="30"/>
          <w:szCs w:val="30"/>
        </w:rPr>
        <w:t>精英化</w:t>
      </w:r>
      <w:r>
        <w:rPr>
          <w:rFonts w:ascii="仿宋_GB2312" w:eastAsia="仿宋_GB2312" w:hAnsi="宋体" w:cs="宋体" w:hint="eastAsia"/>
          <w:kern w:val="0"/>
          <w:sz w:val="30"/>
          <w:szCs w:val="30"/>
        </w:rPr>
        <w:t>、专业化</w:t>
      </w:r>
      <w:r w:rsidRPr="00D265D2">
        <w:rPr>
          <w:rFonts w:ascii="仿宋_GB2312" w:eastAsia="仿宋_GB2312" w:hAnsi="宋体" w:cs="宋体" w:hint="eastAsia"/>
          <w:kern w:val="0"/>
          <w:sz w:val="30"/>
          <w:szCs w:val="30"/>
        </w:rPr>
        <w:t>的价值目标要求。</w:t>
      </w:r>
    </w:p>
    <w:p w:rsidR="00372DA1" w:rsidRPr="00230AD7" w:rsidRDefault="00372DA1" w:rsidP="00950824">
      <w:pPr>
        <w:pStyle w:val="a6"/>
        <w:ind w:firstLine="600"/>
        <w:rPr>
          <w:rFonts w:ascii="楷体" w:eastAsia="楷体" w:hAnsi="楷体" w:cs="宋体"/>
          <w:kern w:val="0"/>
          <w:sz w:val="30"/>
          <w:szCs w:val="30"/>
        </w:rPr>
      </w:pPr>
      <w:r w:rsidRPr="00230AD7">
        <w:rPr>
          <w:rFonts w:ascii="楷体" w:eastAsia="楷体" w:hAnsi="楷体" w:cs="宋体" w:hint="eastAsia"/>
          <w:kern w:val="0"/>
          <w:sz w:val="30"/>
          <w:szCs w:val="30"/>
        </w:rPr>
        <w:t>（一）基层入额与现级入额双轨制</w:t>
      </w:r>
    </w:p>
    <w:p w:rsidR="00372DA1" w:rsidRPr="00D265D2" w:rsidRDefault="00372DA1" w:rsidP="00950824">
      <w:pPr>
        <w:autoSpaceDE w:val="0"/>
        <w:autoSpaceDN w:val="0"/>
        <w:adjustRightInd w:val="0"/>
        <w:ind w:firstLineChars="200" w:firstLine="600"/>
        <w:jc w:val="left"/>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在</w:t>
      </w:r>
      <w:r>
        <w:rPr>
          <w:rFonts w:ascii="仿宋_GB2312" w:eastAsia="仿宋_GB2312" w:hAnsi="宋体" w:cs="宋体" w:hint="eastAsia"/>
          <w:kern w:val="0"/>
          <w:sz w:val="30"/>
          <w:szCs w:val="30"/>
        </w:rPr>
        <w:t>初任法官选任制度建构过程中，各地法院应享有一定的自主权。最高法院只须对</w:t>
      </w:r>
      <w:r w:rsidRPr="00D265D2">
        <w:rPr>
          <w:rFonts w:ascii="仿宋_GB2312" w:eastAsia="仿宋_GB2312" w:hAnsi="宋体" w:cs="宋体" w:hint="eastAsia"/>
          <w:kern w:val="0"/>
          <w:sz w:val="30"/>
          <w:szCs w:val="30"/>
        </w:rPr>
        <w:t>初任法官选任制度提出原则性的改革框架，诸如初任法官的选任条件、选任模式、考核内容等具体问题，各地法院应有一定的决策权因地制宜地规划适合本地区法院“院情”的初任法官选任制度。</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考虑到我国地域范围广阔、发展不均衡、各地实际情况错综复杂的现实国情，给予各级法</w:t>
      </w:r>
      <w:r>
        <w:rPr>
          <w:rFonts w:ascii="仿宋_GB2312" w:eastAsia="仿宋_GB2312" w:hAnsi="宋体" w:cs="宋体" w:hint="eastAsia"/>
          <w:kern w:val="0"/>
          <w:sz w:val="30"/>
          <w:szCs w:val="30"/>
        </w:rPr>
        <w:t>院自主选择采取初任法官基层入额或者现级入额模式的自主权；由高院统筹各省、直辖市、自治区初任法官选任工作，就</w:t>
      </w:r>
      <w:r w:rsidRPr="00D265D2">
        <w:rPr>
          <w:rFonts w:ascii="仿宋_GB2312" w:eastAsia="仿宋_GB2312" w:hAnsi="宋体" w:cs="宋体" w:hint="eastAsia"/>
          <w:kern w:val="0"/>
          <w:sz w:val="30"/>
          <w:szCs w:val="30"/>
        </w:rPr>
        <w:t>不同层级的法院，</w:t>
      </w:r>
      <w:r>
        <w:rPr>
          <w:rFonts w:ascii="仿宋_GB2312" w:eastAsia="仿宋_GB2312" w:hAnsi="宋体" w:cs="宋体" w:hint="eastAsia"/>
          <w:kern w:val="0"/>
          <w:sz w:val="30"/>
          <w:szCs w:val="30"/>
        </w:rPr>
        <w:t>有针对地</w:t>
      </w:r>
      <w:r w:rsidRPr="00D265D2">
        <w:rPr>
          <w:rFonts w:ascii="仿宋_GB2312" w:eastAsia="仿宋_GB2312" w:hAnsi="宋体" w:cs="宋体" w:hint="eastAsia"/>
          <w:kern w:val="0"/>
          <w:sz w:val="30"/>
          <w:szCs w:val="30"/>
        </w:rPr>
        <w:t>设置不同的</w:t>
      </w:r>
      <w:r>
        <w:rPr>
          <w:rFonts w:ascii="仿宋_GB2312" w:eastAsia="仿宋_GB2312" w:hAnsi="宋体" w:cs="宋体" w:hint="eastAsia"/>
          <w:kern w:val="0"/>
          <w:sz w:val="30"/>
          <w:szCs w:val="30"/>
        </w:rPr>
        <w:t>初任法官选任条件，根据</w:t>
      </w:r>
      <w:r w:rsidRPr="00D265D2">
        <w:rPr>
          <w:rFonts w:ascii="仿宋_GB2312" w:eastAsia="仿宋_GB2312" w:hAnsi="宋体" w:cs="宋体" w:hint="eastAsia"/>
          <w:kern w:val="0"/>
          <w:sz w:val="30"/>
          <w:szCs w:val="30"/>
        </w:rPr>
        <w:t>各级法院的</w:t>
      </w:r>
      <w:r>
        <w:rPr>
          <w:rFonts w:ascii="仿宋_GB2312" w:eastAsia="仿宋_GB2312" w:hAnsi="宋体" w:cs="宋体" w:hint="eastAsia"/>
          <w:kern w:val="0"/>
          <w:sz w:val="30"/>
          <w:szCs w:val="30"/>
        </w:rPr>
        <w:t>自主</w:t>
      </w:r>
      <w:r w:rsidRPr="00D265D2">
        <w:rPr>
          <w:rFonts w:ascii="仿宋_GB2312" w:eastAsia="仿宋_GB2312" w:hAnsi="宋体" w:cs="宋体" w:hint="eastAsia"/>
          <w:kern w:val="0"/>
          <w:sz w:val="30"/>
          <w:szCs w:val="30"/>
        </w:rPr>
        <w:t>选择，分别组织实施初任法官基层入额选任工作和现级入额选任工作。初任法官选任工作，原则上以基层入额为</w:t>
      </w:r>
      <w:r>
        <w:rPr>
          <w:rFonts w:ascii="仿宋_GB2312" w:eastAsia="仿宋_GB2312" w:hAnsi="宋体" w:cs="宋体" w:hint="eastAsia"/>
          <w:kern w:val="0"/>
          <w:sz w:val="30"/>
          <w:szCs w:val="30"/>
        </w:rPr>
        <w:t>主体，初任法官一般在基层入额；以现级入额为补充，符合特殊情形或者特定条件，中院以上法官助理可以在原任职法院就地入额；由高</w:t>
      </w:r>
      <w:r w:rsidRPr="00D265D2">
        <w:rPr>
          <w:rFonts w:ascii="仿宋_GB2312" w:eastAsia="仿宋_GB2312" w:hAnsi="宋体" w:cs="宋体" w:hint="eastAsia"/>
          <w:kern w:val="0"/>
          <w:sz w:val="30"/>
          <w:szCs w:val="30"/>
        </w:rPr>
        <w:t>院根据本辖区的实际情况，规定可以在原任职法院就地入额的具体情形</w:t>
      </w:r>
      <w:r>
        <w:rPr>
          <w:rFonts w:ascii="仿宋_GB2312" w:eastAsia="仿宋_GB2312" w:hAnsi="宋体" w:cs="宋体" w:hint="eastAsia"/>
          <w:kern w:val="0"/>
          <w:sz w:val="30"/>
          <w:szCs w:val="30"/>
        </w:rPr>
        <w:t>与具体条件</w:t>
      </w:r>
      <w:r w:rsidRPr="00D265D2">
        <w:rPr>
          <w:rFonts w:ascii="仿宋_GB2312" w:eastAsia="仿宋_GB2312" w:hAnsi="宋体" w:cs="宋体" w:hint="eastAsia"/>
          <w:kern w:val="0"/>
          <w:sz w:val="30"/>
          <w:szCs w:val="30"/>
        </w:rPr>
        <w:t>。</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以</w:t>
      </w:r>
      <w:r w:rsidRPr="00D265D2">
        <w:rPr>
          <w:rFonts w:ascii="仿宋_GB2312" w:eastAsia="仿宋_GB2312" w:hAnsi="宋体" w:cs="宋体"/>
          <w:kern w:val="0"/>
          <w:sz w:val="30"/>
          <w:szCs w:val="30"/>
        </w:rPr>
        <w:t>G</w:t>
      </w:r>
      <w:r>
        <w:rPr>
          <w:rFonts w:ascii="仿宋_GB2312" w:eastAsia="仿宋_GB2312" w:hAnsi="宋体" w:cs="宋体" w:hint="eastAsia"/>
          <w:kern w:val="0"/>
          <w:sz w:val="30"/>
          <w:szCs w:val="30"/>
        </w:rPr>
        <w:t>省三级法院为例，基于某些法院、某些领域</w:t>
      </w:r>
      <w:r w:rsidRPr="00D265D2">
        <w:rPr>
          <w:rFonts w:ascii="仿宋_GB2312" w:eastAsia="仿宋_GB2312" w:hAnsi="宋体" w:cs="宋体" w:hint="eastAsia"/>
          <w:kern w:val="0"/>
          <w:sz w:val="30"/>
          <w:szCs w:val="30"/>
        </w:rPr>
        <w:t>的</w:t>
      </w:r>
      <w:r>
        <w:rPr>
          <w:rFonts w:ascii="仿宋_GB2312" w:eastAsia="仿宋_GB2312" w:hAnsi="宋体" w:cs="宋体" w:hint="eastAsia"/>
          <w:kern w:val="0"/>
          <w:sz w:val="30"/>
          <w:szCs w:val="30"/>
        </w:rPr>
        <w:t>审判专业性很强，应当允许“知识产权法院、海事法院、</w:t>
      </w:r>
      <w:r w:rsidRPr="00D265D2">
        <w:rPr>
          <w:rFonts w:ascii="仿宋_GB2312" w:eastAsia="仿宋_GB2312" w:hAnsi="宋体" w:cs="宋体" w:hint="eastAsia"/>
          <w:kern w:val="0"/>
          <w:sz w:val="30"/>
          <w:szCs w:val="30"/>
        </w:rPr>
        <w:t>军事法院</w:t>
      </w:r>
      <w:r>
        <w:rPr>
          <w:rFonts w:ascii="仿宋_GB2312" w:eastAsia="仿宋_GB2312" w:hAnsi="宋体" w:cs="宋体" w:hint="eastAsia"/>
          <w:kern w:val="0"/>
          <w:sz w:val="30"/>
          <w:szCs w:val="30"/>
        </w:rPr>
        <w:t>、互联</w:t>
      </w:r>
      <w:r>
        <w:rPr>
          <w:rFonts w:ascii="仿宋_GB2312" w:eastAsia="仿宋_GB2312" w:hAnsi="宋体" w:cs="宋体" w:hint="eastAsia"/>
          <w:kern w:val="0"/>
          <w:sz w:val="30"/>
          <w:szCs w:val="30"/>
        </w:rPr>
        <w:lastRenderedPageBreak/>
        <w:t>网法院</w:t>
      </w:r>
      <w:r w:rsidRPr="00D265D2">
        <w:rPr>
          <w:rFonts w:ascii="仿宋_GB2312" w:eastAsia="仿宋_GB2312" w:hAnsi="宋体" w:cs="宋体" w:hint="eastAsia"/>
          <w:kern w:val="0"/>
          <w:sz w:val="30"/>
          <w:szCs w:val="30"/>
        </w:rPr>
        <w:t>等专门法院，以及中级以上法院从事破产、涉外</w:t>
      </w:r>
      <w:r>
        <w:rPr>
          <w:rFonts w:ascii="仿宋_GB2312" w:eastAsia="仿宋_GB2312" w:hAnsi="宋体" w:cs="宋体" w:hint="eastAsia"/>
          <w:kern w:val="0"/>
          <w:sz w:val="30"/>
          <w:szCs w:val="30"/>
        </w:rPr>
        <w:t>、环资等专业性很强的审判业务的法官助理可以在原任职法院入额”。</w:t>
      </w:r>
      <w:r w:rsidRPr="00D265D2">
        <w:rPr>
          <w:rFonts w:ascii="仿宋_GB2312" w:eastAsia="仿宋_GB2312" w:hAnsi="宋体" w:cs="宋体" w:hint="eastAsia"/>
          <w:kern w:val="0"/>
          <w:sz w:val="30"/>
          <w:szCs w:val="30"/>
        </w:rPr>
        <w:t>审判专业性过强的专门法院和专业领域的法</w:t>
      </w:r>
      <w:r>
        <w:rPr>
          <w:rFonts w:ascii="仿宋_GB2312" w:eastAsia="仿宋_GB2312" w:hAnsi="宋体" w:cs="宋体" w:hint="eastAsia"/>
          <w:kern w:val="0"/>
          <w:sz w:val="30"/>
          <w:szCs w:val="30"/>
        </w:rPr>
        <w:t>官养成不同于一般领域法官，并非三五年内可以培养出一名合格的法官，</w:t>
      </w:r>
      <w:r w:rsidRPr="00D265D2">
        <w:rPr>
          <w:rFonts w:ascii="仿宋_GB2312" w:eastAsia="仿宋_GB2312" w:hAnsi="宋体" w:cs="宋体" w:hint="eastAsia"/>
          <w:kern w:val="0"/>
          <w:sz w:val="30"/>
          <w:szCs w:val="30"/>
        </w:rPr>
        <w:t>也并非通过逐级遴选能够满足此类专门法院和专业审判领域的法官需求。</w:t>
      </w:r>
    </w:p>
    <w:p w:rsidR="00372DA1" w:rsidRDefault="00372DA1" w:rsidP="00950824">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另一方面，鉴于各级法院人员稳定性与工作连续性的考虑</w:t>
      </w:r>
      <w:r w:rsidRPr="00D265D2">
        <w:rPr>
          <w:rFonts w:ascii="仿宋_GB2312" w:eastAsia="仿宋_GB2312" w:hAnsi="宋体" w:cs="宋体" w:hint="eastAsia"/>
          <w:kern w:val="0"/>
          <w:sz w:val="30"/>
          <w:szCs w:val="30"/>
        </w:rPr>
        <w:t>，应当规定“承担本级法院或者上级法院重要工作任务的法官助理可以在原任职法院入额”。例如，</w:t>
      </w:r>
      <w:r w:rsidRPr="00D265D2">
        <w:rPr>
          <w:rFonts w:ascii="仿宋_GB2312" w:eastAsia="仿宋_GB2312" w:hAnsi="宋体" w:cs="宋体"/>
          <w:kern w:val="0"/>
          <w:sz w:val="30"/>
          <w:szCs w:val="30"/>
        </w:rPr>
        <w:t>G</w:t>
      </w:r>
      <w:r w:rsidRPr="00D265D2">
        <w:rPr>
          <w:rFonts w:ascii="仿宋_GB2312" w:eastAsia="仿宋_GB2312" w:hAnsi="宋体" w:cs="宋体" w:hint="eastAsia"/>
          <w:kern w:val="0"/>
          <w:sz w:val="30"/>
          <w:szCs w:val="30"/>
        </w:rPr>
        <w:t>市中院司法公开、智慧法院建设、司法体制综合配套制度改革、最高院司法研究重大课题等重点工作，</w:t>
      </w:r>
      <w:r>
        <w:rPr>
          <w:rFonts w:ascii="仿宋_GB2312" w:eastAsia="仿宋_GB2312" w:hAnsi="宋体" w:cs="宋体" w:hint="eastAsia"/>
          <w:kern w:val="0"/>
          <w:sz w:val="30"/>
          <w:szCs w:val="30"/>
        </w:rPr>
        <w:t>均由本院</w:t>
      </w:r>
      <w:r w:rsidRPr="00D265D2">
        <w:rPr>
          <w:rFonts w:ascii="仿宋_GB2312" w:eastAsia="仿宋_GB2312" w:hAnsi="宋体" w:cs="宋体" w:hint="eastAsia"/>
          <w:kern w:val="0"/>
          <w:sz w:val="30"/>
          <w:szCs w:val="30"/>
        </w:rPr>
        <w:t>业务能力强、理论水平高、工作经验丰富的</w:t>
      </w:r>
      <w:r>
        <w:rPr>
          <w:rFonts w:ascii="仿宋_GB2312" w:eastAsia="仿宋_GB2312" w:hAnsi="宋体" w:cs="宋体" w:hint="eastAsia"/>
          <w:kern w:val="0"/>
          <w:sz w:val="30"/>
          <w:szCs w:val="30"/>
        </w:rPr>
        <w:t>优秀</w:t>
      </w:r>
      <w:r w:rsidRPr="00D265D2">
        <w:rPr>
          <w:rFonts w:ascii="仿宋_GB2312" w:eastAsia="仿宋_GB2312" w:hAnsi="宋体" w:cs="宋体" w:hint="eastAsia"/>
          <w:kern w:val="0"/>
          <w:sz w:val="30"/>
          <w:szCs w:val="30"/>
        </w:rPr>
        <w:t>法官助理</w:t>
      </w:r>
      <w:r>
        <w:rPr>
          <w:rFonts w:ascii="仿宋_GB2312" w:eastAsia="仿宋_GB2312" w:hAnsi="宋体" w:cs="宋体" w:hint="eastAsia"/>
          <w:kern w:val="0"/>
          <w:sz w:val="30"/>
          <w:szCs w:val="30"/>
        </w:rPr>
        <w:t>负责经办具体工作。如果这些骨干力量一律到基层法院任职，将严重影响各级法院重点工作的</w:t>
      </w:r>
      <w:r w:rsidRPr="00D265D2">
        <w:rPr>
          <w:rFonts w:ascii="仿宋_GB2312" w:eastAsia="仿宋_GB2312" w:hAnsi="宋体" w:cs="宋体" w:hint="eastAsia"/>
          <w:kern w:val="0"/>
          <w:sz w:val="30"/>
          <w:szCs w:val="30"/>
        </w:rPr>
        <w:t>开展。</w:t>
      </w:r>
    </w:p>
    <w:p w:rsidR="00372DA1" w:rsidRPr="00D265D2" w:rsidRDefault="00E73F76" w:rsidP="00950824">
      <w:pPr>
        <w:ind w:firstLineChars="200" w:firstLine="420"/>
        <w:rPr>
          <w:rFonts w:ascii="仿宋_GB2312" w:eastAsia="仿宋_GB2312" w:hAnsi="宋体" w:cs="宋体"/>
          <w:kern w:val="0"/>
          <w:sz w:val="30"/>
          <w:szCs w:val="30"/>
        </w:rPr>
      </w:pPr>
      <w:r w:rsidRPr="00E73F76">
        <w:rPr>
          <w:noProof/>
        </w:rPr>
        <w:pict>
          <v:shape id="_x0000_s1031" type="#_x0000_t75" style="position:absolute;left:0;text-align:left;margin-left:1pt;margin-top:469.05pt;width:413.25pt;height:168.75pt;z-index:4;mso-position-horizontal-relative:margin;mso-position-vertical-relative:margin">
            <v:imagedata r:id="rId10" o:title=""/>
            <w10:wrap type="square" anchorx="margin" anchory="margin"/>
          </v:shape>
        </w:pict>
      </w:r>
      <w:r w:rsidR="00372DA1">
        <w:rPr>
          <w:rFonts w:ascii="仿宋_GB2312" w:eastAsia="仿宋_GB2312" w:hAnsi="宋体" w:cs="宋体" w:hint="eastAsia"/>
          <w:kern w:val="0"/>
          <w:sz w:val="30"/>
          <w:szCs w:val="30"/>
        </w:rPr>
        <w:t>因此，实行基层入额与现级入额双轨制，</w:t>
      </w:r>
      <w:r w:rsidR="00372DA1" w:rsidRPr="00D265D2">
        <w:rPr>
          <w:rFonts w:ascii="仿宋_GB2312" w:eastAsia="仿宋_GB2312" w:hAnsi="宋体" w:cs="宋体" w:hint="eastAsia"/>
          <w:kern w:val="0"/>
          <w:sz w:val="30"/>
          <w:szCs w:val="30"/>
        </w:rPr>
        <w:t>契合各地法院“院情”</w:t>
      </w:r>
      <w:r w:rsidR="00372DA1">
        <w:rPr>
          <w:rFonts w:ascii="仿宋_GB2312" w:eastAsia="仿宋_GB2312" w:hAnsi="宋体" w:cs="宋体" w:hint="eastAsia"/>
          <w:kern w:val="0"/>
          <w:sz w:val="30"/>
          <w:szCs w:val="30"/>
        </w:rPr>
        <w:t>，能够最大程度解决基层入额制度执行异化问题，破除其可行性局限，避免无差别适用、“一刀切”模式与各级法院差异化的职能定位、不均衡发展的现实国情以及地域环境、特殊审判领域之间的冲突，实现</w:t>
      </w:r>
      <w:r w:rsidR="00372DA1" w:rsidRPr="008956BC">
        <w:rPr>
          <w:rFonts w:ascii="仿宋_GB2312" w:eastAsia="仿宋_GB2312" w:hAnsi="宋体" w:cs="宋体" w:hint="eastAsia"/>
          <w:kern w:val="0"/>
          <w:sz w:val="30"/>
          <w:szCs w:val="30"/>
        </w:rPr>
        <w:t>司法专业化与司法稳定</w:t>
      </w:r>
      <w:r w:rsidR="00372DA1">
        <w:rPr>
          <w:rFonts w:ascii="仿宋_GB2312" w:eastAsia="仿宋_GB2312" w:hAnsi="宋体" w:cs="宋体" w:hint="eastAsia"/>
          <w:kern w:val="0"/>
          <w:sz w:val="30"/>
          <w:szCs w:val="30"/>
        </w:rPr>
        <w:t>、司法效率之间的价</w:t>
      </w:r>
      <w:r w:rsidR="00372DA1">
        <w:rPr>
          <w:rFonts w:ascii="仿宋_GB2312" w:eastAsia="仿宋_GB2312" w:hAnsi="宋体" w:cs="宋体" w:hint="eastAsia"/>
          <w:kern w:val="0"/>
          <w:sz w:val="30"/>
          <w:szCs w:val="30"/>
        </w:rPr>
        <w:lastRenderedPageBreak/>
        <w:t>值均衡。</w:t>
      </w:r>
    </w:p>
    <w:p w:rsidR="00372DA1" w:rsidRPr="00230AD7" w:rsidRDefault="00372DA1" w:rsidP="00950824">
      <w:pPr>
        <w:pStyle w:val="a6"/>
        <w:ind w:firstLine="600"/>
        <w:rPr>
          <w:rFonts w:ascii="楷体" w:eastAsia="楷体" w:hAnsi="楷体" w:cs="宋体"/>
          <w:kern w:val="0"/>
          <w:sz w:val="30"/>
          <w:szCs w:val="30"/>
        </w:rPr>
      </w:pPr>
      <w:r w:rsidRPr="00230AD7">
        <w:rPr>
          <w:rFonts w:ascii="楷体" w:eastAsia="楷体" w:hAnsi="楷体" w:cs="宋体" w:hint="eastAsia"/>
          <w:kern w:val="0"/>
          <w:sz w:val="30"/>
          <w:szCs w:val="30"/>
        </w:rPr>
        <w:t>（二）调动任职与交流任职二元模式</w:t>
      </w:r>
    </w:p>
    <w:p w:rsidR="00372DA1" w:rsidRPr="00D265D2"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调动任职是指在基层入额后，初任法官的组织人事关系随着</w:t>
      </w:r>
      <w:r>
        <w:rPr>
          <w:rFonts w:ascii="仿宋_GB2312" w:eastAsia="仿宋_GB2312" w:hAnsi="宋体" w:cs="宋体" w:hint="eastAsia"/>
          <w:kern w:val="0"/>
          <w:sz w:val="30"/>
          <w:szCs w:val="30"/>
        </w:rPr>
        <w:t>变动至其入额的基层法院，符合一定条件才能通过逐级遴选</w:t>
      </w:r>
      <w:r w:rsidRPr="00D265D2">
        <w:rPr>
          <w:rFonts w:ascii="仿宋_GB2312" w:eastAsia="仿宋_GB2312" w:hAnsi="宋体" w:cs="宋体" w:hint="eastAsia"/>
          <w:kern w:val="0"/>
          <w:sz w:val="30"/>
          <w:szCs w:val="30"/>
        </w:rPr>
        <w:t>至高层级法院任职。交流任职模式与挂职交流相似却又增加了一些条件，是指初任法官在基层入额后其组织人事关系、工资关系等不发生变动，入额占用的员</w:t>
      </w:r>
      <w:r>
        <w:rPr>
          <w:rFonts w:ascii="仿宋_GB2312" w:eastAsia="仿宋_GB2312" w:hAnsi="宋体" w:cs="宋体" w:hint="eastAsia"/>
          <w:kern w:val="0"/>
          <w:sz w:val="30"/>
          <w:szCs w:val="30"/>
        </w:rPr>
        <w:t>额也来源于原任职法院，但必须在基层法院工作满一定年限后且符合特定</w:t>
      </w:r>
      <w:r w:rsidRPr="00D265D2">
        <w:rPr>
          <w:rFonts w:ascii="仿宋_GB2312" w:eastAsia="仿宋_GB2312" w:hAnsi="宋体" w:cs="宋体" w:hint="eastAsia"/>
          <w:kern w:val="0"/>
          <w:sz w:val="30"/>
          <w:szCs w:val="30"/>
        </w:rPr>
        <w:t>条件，可以结束交流任职任期，回到原任职法院工作。</w:t>
      </w:r>
    </w:p>
    <w:p w:rsidR="00372DA1" w:rsidRPr="00D265D2" w:rsidRDefault="00372DA1" w:rsidP="00950824">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中共中央、全国人大以及最高人民法院在初任法官选任制度上</w:t>
      </w:r>
      <w:r w:rsidRPr="00D265D2">
        <w:rPr>
          <w:rFonts w:ascii="仿宋_GB2312" w:eastAsia="仿宋_GB2312" w:hAnsi="宋体" w:cs="宋体" w:hint="eastAsia"/>
          <w:kern w:val="0"/>
          <w:sz w:val="30"/>
          <w:szCs w:val="30"/>
        </w:rPr>
        <w:t>并没有明确规定初任法官到基层任职的具体模式。</w:t>
      </w:r>
      <w:r>
        <w:rPr>
          <w:rFonts w:ascii="仿宋_GB2312" w:eastAsia="仿宋_GB2312" w:hAnsi="宋体" w:cs="宋体" w:hint="eastAsia"/>
          <w:kern w:val="0"/>
          <w:sz w:val="30"/>
          <w:szCs w:val="30"/>
        </w:rPr>
        <w:t>而事实上，基于经济人的有限理性理论</w:t>
      </w:r>
      <w:r w:rsidRPr="00D265D2">
        <w:rPr>
          <w:rFonts w:ascii="仿宋_GB2312" w:eastAsia="仿宋_GB2312" w:hAnsi="宋体" w:cs="宋体" w:hint="eastAsia"/>
          <w:kern w:val="0"/>
          <w:sz w:val="30"/>
          <w:szCs w:val="30"/>
        </w:rPr>
        <w:t>，初任法官基层入额制度的实施几乎必然产生中级以上法院法官助理的流失以及招录难等问题，长远而言也将影响整体司法人员队伍的稳定性。因此，初任法官基层入额制度应当以交流任职为主体，以调动任职为补充。</w:t>
      </w:r>
    </w:p>
    <w:p w:rsidR="00372DA1" w:rsidRPr="00D265D2" w:rsidRDefault="00372DA1">
      <w:pPr>
        <w:ind w:firstLine="645"/>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具体而言，赋予法官助理的自主选择权。如无特殊情况，初任法官在基层任职以交流任职的方式进行，组织关系、</w:t>
      </w:r>
      <w:r>
        <w:rPr>
          <w:rFonts w:ascii="仿宋_GB2312" w:eastAsia="仿宋_GB2312" w:hAnsi="宋体" w:cs="宋体" w:hint="eastAsia"/>
          <w:kern w:val="0"/>
          <w:sz w:val="30"/>
          <w:szCs w:val="30"/>
        </w:rPr>
        <w:t>工资关系不发生变动，符合一定年限和条件后直接回到原任职法院继续担任法官。建议基层任职年限规定为</w:t>
      </w:r>
      <w:r>
        <w:rPr>
          <w:rFonts w:ascii="仿宋_GB2312" w:eastAsia="仿宋_GB2312" w:hAnsi="宋体" w:cs="宋体"/>
          <w:kern w:val="0"/>
          <w:sz w:val="30"/>
          <w:szCs w:val="30"/>
        </w:rPr>
        <w:t>5</w:t>
      </w:r>
      <w:r>
        <w:rPr>
          <w:rFonts w:ascii="仿宋_GB2312" w:eastAsia="仿宋_GB2312" w:hAnsi="宋体" w:cs="宋体" w:hint="eastAsia"/>
          <w:kern w:val="0"/>
          <w:sz w:val="30"/>
          <w:szCs w:val="30"/>
        </w:rPr>
        <w:t>年以上，既参照公务员招录中基层工作经验的最高年限要求，也符合法官养成的司法规律；符合一定的条件以通过特定考核为标准，综合考核审判的质、量、效，科学设置所占权重；辅以加分项目，例如立功及考核优秀，</w:t>
      </w:r>
      <w:r>
        <w:rPr>
          <w:rFonts w:ascii="仿宋_GB2312" w:eastAsia="仿宋_GB2312" w:hAnsi="宋体" w:cs="宋体" w:hint="eastAsia"/>
          <w:kern w:val="0"/>
          <w:sz w:val="30"/>
          <w:szCs w:val="30"/>
        </w:rPr>
        <w:lastRenderedPageBreak/>
        <w:t>案例、论文、信息等调研成果，合理确定加分分值及上限。</w:t>
      </w:r>
      <w:r w:rsidRPr="00D265D2">
        <w:rPr>
          <w:rFonts w:ascii="仿宋_GB2312" w:eastAsia="仿宋_GB2312" w:hAnsi="宋体" w:cs="宋体" w:hint="eastAsia"/>
          <w:kern w:val="0"/>
          <w:sz w:val="30"/>
          <w:szCs w:val="30"/>
        </w:rPr>
        <w:t>如有特定情形，可以向所在法院提出申请，经审核批准后，可以采取调动任职的方式在基层法院入额，组织关系、工资关系等一并转至基层法院。</w:t>
      </w:r>
    </w:p>
    <w:p w:rsidR="00372DA1" w:rsidRDefault="00372DA1" w:rsidP="00A20FAC">
      <w:pPr>
        <w:ind w:firstLine="645"/>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需要注意，法官员额制改革后，员额成为各级法院的稀缺资源。为了降低初任法官选任制度的基层阻力，建议中级以上法院</w:t>
      </w:r>
      <w:r>
        <w:rPr>
          <w:rFonts w:ascii="仿宋_GB2312" w:eastAsia="仿宋_GB2312" w:hAnsi="宋体" w:cs="宋体" w:hint="eastAsia"/>
          <w:kern w:val="0"/>
          <w:sz w:val="30"/>
          <w:szCs w:val="30"/>
        </w:rPr>
        <w:t>的法官助理入额时占用本级法院的员额，避免因中级以上法院法官助理的基数较大而挤占基层法院法官助理的入额空间，造成实质</w:t>
      </w:r>
      <w:r w:rsidRPr="00D265D2">
        <w:rPr>
          <w:rFonts w:ascii="仿宋_GB2312" w:eastAsia="仿宋_GB2312" w:hAnsi="宋体" w:cs="宋体" w:hint="eastAsia"/>
          <w:kern w:val="0"/>
          <w:sz w:val="30"/>
          <w:szCs w:val="30"/>
        </w:rPr>
        <w:t>不公平。</w:t>
      </w:r>
    </w:p>
    <w:p w:rsidR="00372DA1" w:rsidRPr="00D265D2" w:rsidRDefault="00E73F76" w:rsidP="00706637">
      <w:pPr>
        <w:ind w:firstLine="645"/>
        <w:rPr>
          <w:rFonts w:ascii="仿宋_GB2312" w:eastAsia="仿宋_GB2312" w:hAnsi="宋体" w:cs="宋体"/>
          <w:kern w:val="0"/>
          <w:sz w:val="30"/>
          <w:szCs w:val="30"/>
        </w:rPr>
      </w:pPr>
      <w:r w:rsidRPr="00E73F76">
        <w:rPr>
          <w:noProof/>
        </w:rPr>
        <w:pict>
          <v:shape id="_x0000_s1032" type="#_x0000_t75" style="position:absolute;left:0;text-align:left;margin-left:-32.05pt;margin-top:318.55pt;width:479.45pt;height:194.45pt;z-index:5;mso-position-horizontal-relative:margin;mso-position-vertical-relative:margin">
            <v:imagedata r:id="rId11" o:title=""/>
            <w10:wrap type="square" anchorx="margin" anchory="margin"/>
          </v:shape>
        </w:pict>
      </w:r>
      <w:r w:rsidR="00372DA1">
        <w:rPr>
          <w:rFonts w:ascii="仿宋_GB2312" w:eastAsia="仿宋_GB2312" w:hAnsi="宋体" w:cs="宋体" w:hint="eastAsia"/>
          <w:kern w:val="0"/>
          <w:sz w:val="30"/>
          <w:szCs w:val="30"/>
        </w:rPr>
        <w:t>实行</w:t>
      </w:r>
      <w:r w:rsidR="00372DA1" w:rsidRPr="008956BC">
        <w:rPr>
          <w:rFonts w:ascii="仿宋_GB2312" w:eastAsia="仿宋_GB2312" w:hAnsi="宋体" w:cs="宋体" w:hint="eastAsia"/>
          <w:kern w:val="0"/>
          <w:sz w:val="30"/>
          <w:szCs w:val="30"/>
        </w:rPr>
        <w:t>调动任职与交流任职二元模式</w:t>
      </w:r>
      <w:r w:rsidR="00372DA1">
        <w:rPr>
          <w:rFonts w:ascii="仿宋_GB2312" w:eastAsia="仿宋_GB2312" w:hAnsi="宋体" w:cs="宋体" w:hint="eastAsia"/>
          <w:kern w:val="0"/>
          <w:sz w:val="30"/>
          <w:szCs w:val="30"/>
        </w:rPr>
        <w:t>，能够破解初任法官基层入额制度刚性逻辑的负功能，纠正目标逻辑的或然性，实现选任制度的激励效应，打破操作性与系统性局限，达成司法专业化与司法稳定的价值平衡。</w:t>
      </w:r>
    </w:p>
    <w:p w:rsidR="00372DA1" w:rsidRPr="00230AD7" w:rsidRDefault="00372DA1" w:rsidP="00950824">
      <w:pPr>
        <w:pStyle w:val="a6"/>
        <w:ind w:firstLine="600"/>
        <w:rPr>
          <w:rFonts w:ascii="楷体" w:eastAsia="楷体" w:hAnsi="楷体" w:cs="宋体"/>
          <w:kern w:val="0"/>
          <w:sz w:val="30"/>
          <w:szCs w:val="30"/>
        </w:rPr>
      </w:pPr>
      <w:r w:rsidRPr="00230AD7">
        <w:rPr>
          <w:rFonts w:ascii="楷体" w:eastAsia="楷体" w:hAnsi="楷体" w:cs="宋体" w:hint="eastAsia"/>
          <w:kern w:val="0"/>
          <w:sz w:val="30"/>
          <w:szCs w:val="30"/>
        </w:rPr>
        <w:t>（三）合格前置与择优选任结合模式</w:t>
      </w:r>
    </w:p>
    <w:p w:rsidR="00372DA1" w:rsidRDefault="00372DA1" w:rsidP="00950824">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法官精英化、专业化的</w:t>
      </w:r>
      <w:r w:rsidRPr="00D265D2">
        <w:rPr>
          <w:rFonts w:ascii="仿宋_GB2312" w:eastAsia="仿宋_GB2312" w:hAnsi="宋体" w:cs="宋体" w:hint="eastAsia"/>
          <w:kern w:val="0"/>
          <w:sz w:val="30"/>
          <w:szCs w:val="30"/>
        </w:rPr>
        <w:t>改革目标，应当从法官选任的高门槛设置、差额择优选任上寻找答案。通过设立“合格线”制度、候</w:t>
      </w:r>
      <w:r w:rsidRPr="00D265D2">
        <w:rPr>
          <w:rFonts w:ascii="仿宋_GB2312" w:eastAsia="仿宋_GB2312" w:hAnsi="宋体" w:cs="宋体" w:hint="eastAsia"/>
          <w:kern w:val="0"/>
          <w:sz w:val="30"/>
          <w:szCs w:val="30"/>
        </w:rPr>
        <w:lastRenderedPageBreak/>
        <w:t>补法官制度、差额选任制度，构建初任法官选任的制度基础。</w:t>
      </w:r>
    </w:p>
    <w:p w:rsidR="00372DA1" w:rsidRDefault="00372DA1" w:rsidP="00950824">
      <w:pPr>
        <w:ind w:firstLineChars="200" w:firstLine="600"/>
        <w:rPr>
          <w:rFonts w:ascii="仿宋_GB2312" w:eastAsia="仿宋_GB2312" w:hAnsi="宋体" w:cs="宋体"/>
          <w:kern w:val="0"/>
          <w:sz w:val="30"/>
          <w:szCs w:val="30"/>
        </w:rPr>
      </w:pPr>
      <w:r w:rsidRPr="00D265D2">
        <w:rPr>
          <w:rFonts w:ascii="仿宋_GB2312" w:eastAsia="仿宋_GB2312" w:hAnsi="宋体" w:cs="宋体" w:hint="eastAsia"/>
          <w:kern w:val="0"/>
          <w:sz w:val="30"/>
          <w:szCs w:val="30"/>
        </w:rPr>
        <w:t>以“合格线”制度为基础，法官助理必须通过候补法官考任，达到合格线标准以上才能成为候补法官；候补法官经过一定年限的审判经验积累，综合考虑审判业绩、业务能力、理论水平和法律工作经历等因素，通过入额法官考任后，才能成为正式员额法官；候补法官考任与入额法官考任均实行差额择优选任。</w:t>
      </w:r>
      <w:r>
        <w:rPr>
          <w:rFonts w:ascii="仿宋_GB2312" w:eastAsia="仿宋_GB2312" w:hAnsi="宋体" w:cs="宋体" w:hint="eastAsia"/>
          <w:kern w:val="0"/>
          <w:sz w:val="30"/>
          <w:szCs w:val="30"/>
        </w:rPr>
        <w:t>设置合格线标准划线选任候补法官，再通过差额择优选任员额法官，</w:t>
      </w:r>
      <w:r w:rsidRPr="00D265D2">
        <w:rPr>
          <w:rFonts w:ascii="仿宋_GB2312" w:eastAsia="仿宋_GB2312" w:hAnsi="宋体" w:cs="宋体" w:hint="eastAsia"/>
          <w:kern w:val="0"/>
          <w:sz w:val="30"/>
          <w:szCs w:val="30"/>
        </w:rPr>
        <w:t>二者并轨结合，确保</w:t>
      </w:r>
      <w:r>
        <w:rPr>
          <w:rFonts w:ascii="仿宋_GB2312" w:eastAsia="仿宋_GB2312" w:hAnsi="宋体" w:cs="宋体" w:hint="eastAsia"/>
          <w:kern w:val="0"/>
          <w:sz w:val="30"/>
          <w:szCs w:val="30"/>
        </w:rPr>
        <w:t>廉洁奉公、恪尽职守、办案能力强、专业水平高的优秀法律人才成为员额法官</w:t>
      </w:r>
      <w:r w:rsidRPr="00D265D2">
        <w:rPr>
          <w:rFonts w:ascii="仿宋_GB2312" w:eastAsia="仿宋_GB2312" w:hAnsi="宋体" w:cs="宋体" w:hint="eastAsia"/>
          <w:kern w:val="0"/>
          <w:sz w:val="30"/>
          <w:szCs w:val="30"/>
        </w:rPr>
        <w:t>，保证法官整体水平与个体水平均达到司法体制改革的专业化目标要求。</w:t>
      </w:r>
    </w:p>
    <w:p w:rsidR="00372DA1" w:rsidRPr="00D265D2" w:rsidRDefault="00E73F76" w:rsidP="00950824">
      <w:pPr>
        <w:ind w:firstLineChars="200" w:firstLine="420"/>
        <w:rPr>
          <w:rFonts w:ascii="仿宋_GB2312" w:eastAsia="仿宋_GB2312" w:hAnsi="宋体" w:cs="宋体"/>
          <w:kern w:val="0"/>
          <w:sz w:val="30"/>
          <w:szCs w:val="30"/>
        </w:rPr>
      </w:pPr>
      <w:r w:rsidRPr="00E73F76">
        <w:rPr>
          <w:noProof/>
        </w:rPr>
        <w:pict>
          <v:shape id="_x0000_s1033" type="#_x0000_t75" style="position:absolute;left:0;text-align:left;margin-left:-34.55pt;margin-top:284pt;width:484.45pt;height:197.8pt;z-index:6;mso-position-horizontal-relative:margin;mso-position-vertical-relative:margin">
            <v:imagedata r:id="rId12" o:title=""/>
            <w10:wrap type="square" anchorx="margin" anchory="margin"/>
          </v:shape>
        </w:pict>
      </w:r>
      <w:r w:rsidR="00372DA1">
        <w:rPr>
          <w:rFonts w:ascii="仿宋_GB2312" w:eastAsia="仿宋_GB2312" w:hAnsi="宋体" w:cs="宋体" w:hint="eastAsia"/>
          <w:kern w:val="0"/>
          <w:sz w:val="30"/>
          <w:szCs w:val="30"/>
        </w:rPr>
        <w:t>合格前置与择优选任结合模式，是实现法官精英化与专业化目标，提升司法体系和司法能力现代化程度的路径选择。</w:t>
      </w:r>
    </w:p>
    <w:p w:rsidR="00372DA1" w:rsidRPr="00DE5830" w:rsidRDefault="00372DA1" w:rsidP="00950824">
      <w:pPr>
        <w:ind w:firstLineChars="200" w:firstLine="602"/>
        <w:rPr>
          <w:rFonts w:ascii="仿宋_GB2312" w:eastAsia="仿宋_GB2312" w:hAnsi="宋体" w:cs="宋体"/>
          <w:b/>
          <w:kern w:val="0"/>
          <w:sz w:val="30"/>
          <w:szCs w:val="30"/>
        </w:rPr>
      </w:pPr>
      <w:r w:rsidRPr="00DE5830">
        <w:rPr>
          <w:rFonts w:ascii="仿宋_GB2312" w:eastAsia="仿宋_GB2312" w:hAnsi="宋体" w:cs="宋体" w:hint="eastAsia"/>
          <w:b/>
          <w:kern w:val="0"/>
          <w:sz w:val="30"/>
          <w:szCs w:val="30"/>
        </w:rPr>
        <w:t>结语</w:t>
      </w:r>
    </w:p>
    <w:p w:rsidR="00372DA1" w:rsidRPr="00D265D2" w:rsidRDefault="00372DA1" w:rsidP="00E30BC3">
      <w:pPr>
        <w:rPr>
          <w:rFonts w:ascii="仿宋_GB2312" w:eastAsia="仿宋_GB2312" w:hAnsi="宋体" w:cs="宋体"/>
          <w:kern w:val="0"/>
          <w:sz w:val="30"/>
          <w:szCs w:val="30"/>
        </w:rPr>
      </w:pPr>
      <w:r w:rsidRPr="00D265D2">
        <w:rPr>
          <w:rFonts w:ascii="仿宋_GB2312" w:eastAsia="仿宋_GB2312" w:hAnsi="宋体" w:cs="宋体"/>
          <w:kern w:val="0"/>
          <w:sz w:val="30"/>
          <w:szCs w:val="30"/>
        </w:rPr>
        <w:t xml:space="preserve">    </w:t>
      </w:r>
      <w:r w:rsidRPr="00D265D2">
        <w:rPr>
          <w:rFonts w:ascii="仿宋_GB2312" w:eastAsia="仿宋_GB2312" w:hAnsi="宋体" w:cs="宋体" w:hint="eastAsia"/>
          <w:kern w:val="0"/>
          <w:sz w:val="30"/>
          <w:szCs w:val="30"/>
        </w:rPr>
        <w:t>作为司法人力资源供给</w:t>
      </w:r>
      <w:r>
        <w:rPr>
          <w:rFonts w:ascii="仿宋_GB2312" w:eastAsia="仿宋_GB2312" w:hAnsi="宋体" w:cs="宋体" w:hint="eastAsia"/>
          <w:kern w:val="0"/>
          <w:sz w:val="30"/>
          <w:szCs w:val="30"/>
        </w:rPr>
        <w:t>制度的初任法官选任制度改</w:t>
      </w:r>
      <w:r w:rsidRPr="00D265D2">
        <w:rPr>
          <w:rFonts w:ascii="仿宋_GB2312" w:eastAsia="仿宋_GB2312" w:hAnsi="宋体" w:cs="宋体" w:hint="eastAsia"/>
          <w:kern w:val="0"/>
          <w:sz w:val="30"/>
          <w:szCs w:val="30"/>
        </w:rPr>
        <w:t>革是司法供给侧改革的应有之义，也是达成法官队伍精英化、专业化价值目标的关键之举，更是实现司法体系和司法能力现代化的重要</w:t>
      </w:r>
      <w:r w:rsidRPr="00D265D2">
        <w:rPr>
          <w:rFonts w:ascii="仿宋_GB2312" w:eastAsia="仿宋_GB2312" w:hAnsi="宋体" w:cs="宋体" w:hint="eastAsia"/>
          <w:kern w:val="0"/>
          <w:sz w:val="30"/>
          <w:szCs w:val="30"/>
        </w:rPr>
        <w:lastRenderedPageBreak/>
        <w:t>支撑。然而，被顶层设计者寄予厚望的初任法官基层入额制度，正在显现出愈来愈多的弊病。为此，破局的关键在于以精英化、专业化培养为核心，以契合司法现态为前提，以制度的可行性与可操作性为重点，以稳妥、有序、中和思维为保障，着重解决司法改革背景下法官助理向员额法官进阶难题，逐步完善我国初任法官选任制度。</w:t>
      </w:r>
    </w:p>
    <w:sectPr w:rsidR="00372DA1" w:rsidRPr="00D265D2" w:rsidSect="00AF3675">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CE" w:rsidRDefault="00AC5ACE" w:rsidP="00AF3675">
      <w:r>
        <w:separator/>
      </w:r>
    </w:p>
  </w:endnote>
  <w:endnote w:type="continuationSeparator" w:id="0">
    <w:p w:rsidR="00AC5ACE" w:rsidRDefault="00AC5ACE" w:rsidP="00AF3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panose1 w:val="00000000000000000000"/>
    <w:charset w:val="00"/>
    <w:family w:val="roman"/>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A1" w:rsidRDefault="00E73F76">
    <w:pPr>
      <w:pStyle w:val="a8"/>
      <w:framePr w:wrap="around" w:vAnchor="text" w:hAnchor="margin" w:xAlign="right" w:y="1"/>
      <w:rPr>
        <w:rStyle w:val="ac"/>
      </w:rPr>
    </w:pPr>
    <w:r>
      <w:rPr>
        <w:rStyle w:val="ac"/>
      </w:rPr>
      <w:fldChar w:fldCharType="begin"/>
    </w:r>
    <w:r w:rsidR="00372DA1">
      <w:rPr>
        <w:rStyle w:val="ac"/>
      </w:rPr>
      <w:instrText xml:space="preserve">PAGE  </w:instrText>
    </w:r>
    <w:r>
      <w:rPr>
        <w:rStyle w:val="ac"/>
      </w:rPr>
      <w:fldChar w:fldCharType="end"/>
    </w:r>
  </w:p>
  <w:p w:rsidR="00372DA1" w:rsidRDefault="00372DA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A1" w:rsidRDefault="00E73F76">
    <w:pPr>
      <w:pStyle w:val="a8"/>
      <w:framePr w:wrap="around" w:vAnchor="text" w:hAnchor="margin" w:xAlign="right" w:y="1"/>
      <w:rPr>
        <w:rStyle w:val="ac"/>
      </w:rPr>
    </w:pPr>
    <w:r>
      <w:rPr>
        <w:rStyle w:val="ac"/>
      </w:rPr>
      <w:fldChar w:fldCharType="begin"/>
    </w:r>
    <w:r w:rsidR="00372DA1">
      <w:rPr>
        <w:rStyle w:val="ac"/>
      </w:rPr>
      <w:instrText xml:space="preserve">PAGE  </w:instrText>
    </w:r>
    <w:r>
      <w:rPr>
        <w:rStyle w:val="ac"/>
      </w:rPr>
      <w:fldChar w:fldCharType="separate"/>
    </w:r>
    <w:r w:rsidR="00C7415D">
      <w:rPr>
        <w:rStyle w:val="ac"/>
        <w:noProof/>
      </w:rPr>
      <w:t>18</w:t>
    </w:r>
    <w:r>
      <w:rPr>
        <w:rStyle w:val="ac"/>
      </w:rPr>
      <w:fldChar w:fldCharType="end"/>
    </w:r>
  </w:p>
  <w:p w:rsidR="00372DA1" w:rsidRDefault="00372DA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CE" w:rsidRDefault="00AC5ACE" w:rsidP="00AF3675">
      <w:r>
        <w:separator/>
      </w:r>
    </w:p>
  </w:footnote>
  <w:footnote w:type="continuationSeparator" w:id="0">
    <w:p w:rsidR="00AC5ACE" w:rsidRDefault="00AC5ACE" w:rsidP="00AF3675">
      <w:r>
        <w:continuationSeparator/>
      </w:r>
    </w:p>
  </w:footnote>
  <w:footnote w:id="1">
    <w:p w:rsidR="00372DA1" w:rsidRDefault="00372DA1">
      <w:pPr>
        <w:pStyle w:val="a9"/>
      </w:pPr>
      <w:r>
        <w:rPr>
          <w:rStyle w:val="aa"/>
          <w:rFonts w:hint="eastAsia"/>
        </w:rPr>
        <w:t>（</w:t>
      </w:r>
      <w:r>
        <w:rPr>
          <w:rStyle w:val="aa"/>
        </w:rPr>
        <w:t>1</w:t>
      </w:r>
      <w:r>
        <w:rPr>
          <w:rStyle w:val="aa"/>
          <w:rFonts w:hint="eastAsia"/>
        </w:rPr>
        <w:t>）</w:t>
      </w:r>
      <w:r>
        <w:rPr>
          <w:rFonts w:hint="eastAsia"/>
        </w:rPr>
        <w:t>参见《中共中央关于全面推进依法治国若干重大问题的决定》的相关规定。</w:t>
      </w:r>
    </w:p>
  </w:footnote>
  <w:footnote w:id="2">
    <w:p w:rsidR="00372DA1" w:rsidRDefault="00372DA1">
      <w:pPr>
        <w:pStyle w:val="a9"/>
      </w:pPr>
      <w:r>
        <w:rPr>
          <w:rStyle w:val="aa"/>
          <w:rFonts w:hint="eastAsia"/>
        </w:rPr>
        <w:t>（</w:t>
      </w:r>
      <w:r>
        <w:rPr>
          <w:rStyle w:val="aa"/>
        </w:rPr>
        <w:t>2</w:t>
      </w:r>
      <w:r>
        <w:rPr>
          <w:rStyle w:val="aa"/>
          <w:rFonts w:hint="eastAsia"/>
        </w:rPr>
        <w:t>）</w:t>
      </w:r>
      <w:r>
        <w:rPr>
          <w:rFonts w:hint="eastAsia"/>
        </w:rPr>
        <w:t>杨海涛、陈耀辉：《</w:t>
      </w:r>
      <w:r w:rsidRPr="00BE5670">
        <w:rPr>
          <w:rFonts w:hint="eastAsia"/>
        </w:rPr>
        <w:t>政策异化过程探析</w:t>
      </w:r>
      <w:r>
        <w:rPr>
          <w:rFonts w:hint="eastAsia"/>
        </w:rPr>
        <w:t>》</w:t>
      </w:r>
      <w:r w:rsidRPr="00BE5670">
        <w:rPr>
          <w:rFonts w:hint="eastAsia"/>
        </w:rPr>
        <w:t>，</w:t>
      </w:r>
      <w:r>
        <w:rPr>
          <w:rFonts w:hint="eastAsia"/>
        </w:rPr>
        <w:t>载《长白学刊》</w:t>
      </w:r>
      <w:r w:rsidRPr="00BE5670">
        <w:t xml:space="preserve">2012 </w:t>
      </w:r>
      <w:r w:rsidRPr="00BE5670">
        <w:rPr>
          <w:rFonts w:hint="eastAsia"/>
        </w:rPr>
        <w:t>年第</w:t>
      </w:r>
      <w:r w:rsidRPr="00BE5670">
        <w:t xml:space="preserve"> 6 </w:t>
      </w:r>
      <w:r w:rsidRPr="00BE5670">
        <w:rPr>
          <w:rFonts w:hint="eastAsia"/>
        </w:rPr>
        <w:t>期。</w:t>
      </w:r>
    </w:p>
  </w:footnote>
  <w:footnote w:id="3">
    <w:p w:rsidR="00372DA1" w:rsidRDefault="00372DA1" w:rsidP="009E071F">
      <w:pPr>
        <w:pStyle w:val="a9"/>
      </w:pPr>
      <w:r>
        <w:rPr>
          <w:rStyle w:val="aa"/>
          <w:rFonts w:hint="eastAsia"/>
        </w:rPr>
        <w:t>（</w:t>
      </w:r>
      <w:r>
        <w:rPr>
          <w:rStyle w:val="aa"/>
        </w:rPr>
        <w:t>3</w:t>
      </w:r>
      <w:r>
        <w:rPr>
          <w:rStyle w:val="aa"/>
          <w:rFonts w:hint="eastAsia"/>
        </w:rPr>
        <w:t>）</w:t>
      </w:r>
      <w:r>
        <w:rPr>
          <w:rFonts w:hint="eastAsia"/>
        </w:rPr>
        <w:t>田先红、罗兴佐：《官僚组织间关系与政策的象征性执行</w:t>
      </w:r>
      <w:r>
        <w:t>——</w:t>
      </w:r>
      <w:r>
        <w:rPr>
          <w:rFonts w:hint="eastAsia"/>
        </w:rPr>
        <w:t>以重大决策社会稳定风险评估制度为讨论中心》，载《江苏行政学院学报》</w:t>
      </w:r>
      <w:r>
        <w:t xml:space="preserve">2016 </w:t>
      </w:r>
      <w:r>
        <w:rPr>
          <w:rFonts w:hint="eastAsia"/>
        </w:rPr>
        <w:t>年第</w:t>
      </w:r>
      <w:r>
        <w:t xml:space="preserve"> 5 </w:t>
      </w:r>
      <w:r>
        <w:rPr>
          <w:rFonts w:hint="eastAsia"/>
        </w:rPr>
        <w:t>期。</w:t>
      </w:r>
    </w:p>
  </w:footnote>
  <w:footnote w:id="4">
    <w:p w:rsidR="00372DA1" w:rsidRDefault="00372DA1">
      <w:pPr>
        <w:pStyle w:val="a9"/>
      </w:pPr>
      <w:r>
        <w:rPr>
          <w:rStyle w:val="aa"/>
          <w:rFonts w:hint="eastAsia"/>
        </w:rPr>
        <w:t>（</w:t>
      </w:r>
      <w:r>
        <w:rPr>
          <w:rStyle w:val="aa"/>
        </w:rPr>
        <w:t>4</w:t>
      </w:r>
      <w:r>
        <w:rPr>
          <w:rStyle w:val="aa"/>
          <w:rFonts w:hint="eastAsia"/>
        </w:rPr>
        <w:t>）</w:t>
      </w:r>
      <w:r w:rsidRPr="009E071F">
        <w:rPr>
          <w:rFonts w:hint="eastAsia"/>
        </w:rPr>
        <w:t>贺东航、孔繁斌：《公共政策执行的中国经验》，载《中国社会科学》</w:t>
      </w:r>
      <w:r w:rsidRPr="009E071F">
        <w:t xml:space="preserve">2011 </w:t>
      </w:r>
      <w:r w:rsidRPr="009E071F">
        <w:rPr>
          <w:rFonts w:hint="eastAsia"/>
        </w:rPr>
        <w:t>年第</w:t>
      </w:r>
      <w:r w:rsidRPr="009E071F">
        <w:t xml:space="preserve">5 </w:t>
      </w:r>
      <w:r>
        <w:rPr>
          <w:rFonts w:hint="eastAsia"/>
        </w:rPr>
        <w:t>期。</w:t>
      </w:r>
    </w:p>
  </w:footnote>
  <w:footnote w:id="5">
    <w:p w:rsidR="00372DA1" w:rsidRDefault="00372DA1" w:rsidP="002A4D10">
      <w:pPr>
        <w:pStyle w:val="a9"/>
      </w:pPr>
      <w:r>
        <w:rPr>
          <w:rStyle w:val="aa"/>
          <w:rFonts w:hint="eastAsia"/>
        </w:rPr>
        <w:t>（</w:t>
      </w:r>
      <w:r>
        <w:rPr>
          <w:rStyle w:val="aa"/>
        </w:rPr>
        <w:t>5</w:t>
      </w:r>
      <w:r>
        <w:rPr>
          <w:rStyle w:val="aa"/>
          <w:rFonts w:hint="eastAsia"/>
        </w:rPr>
        <w:t>）</w:t>
      </w:r>
      <w:r>
        <w:rPr>
          <w:rFonts w:hint="eastAsia"/>
        </w:rPr>
        <w:t>参见周黎安著：《转型中的地方政府：官员激励与治理》，上海人民出版社</w:t>
      </w:r>
      <w:r>
        <w:t>2008</w:t>
      </w:r>
      <w:r>
        <w:rPr>
          <w:rFonts w:hint="eastAsia"/>
        </w:rPr>
        <w:t>年版，第</w:t>
      </w:r>
      <w:r>
        <w:t>26</w:t>
      </w:r>
      <w:r>
        <w:rPr>
          <w:rFonts w:hint="eastAsia"/>
        </w:rPr>
        <w:t>页。</w:t>
      </w:r>
    </w:p>
  </w:footnote>
  <w:footnote w:id="6">
    <w:p w:rsidR="00372DA1" w:rsidRDefault="00372DA1" w:rsidP="002A4D10">
      <w:pPr>
        <w:pStyle w:val="a9"/>
      </w:pPr>
      <w:r>
        <w:rPr>
          <w:rStyle w:val="aa"/>
          <w:rFonts w:hint="eastAsia"/>
        </w:rPr>
        <w:t>（</w:t>
      </w:r>
      <w:r>
        <w:rPr>
          <w:rStyle w:val="aa"/>
        </w:rPr>
        <w:t>6</w:t>
      </w:r>
      <w:r>
        <w:rPr>
          <w:rStyle w:val="aa"/>
          <w:rFonts w:hint="eastAsia"/>
        </w:rPr>
        <w:t>）</w:t>
      </w:r>
      <w:r>
        <w:rPr>
          <w:rFonts w:hint="eastAsia"/>
        </w:rPr>
        <w:t>周雪光著：《中国国家治理的制度逻辑：一个组织学研究》，生活·读书·新知三联书店</w:t>
      </w:r>
      <w:r>
        <w:t>2017</w:t>
      </w:r>
      <w:r>
        <w:rPr>
          <w:rFonts w:hint="eastAsia"/>
        </w:rPr>
        <w:t>年版，第</w:t>
      </w:r>
      <w:r>
        <w:t>27</w:t>
      </w:r>
      <w:r>
        <w:rPr>
          <w:rFonts w:hint="eastAsia"/>
        </w:rPr>
        <w:t>页。</w:t>
      </w:r>
      <w:r>
        <w:t xml:space="preserve"> </w:t>
      </w:r>
    </w:p>
  </w:footnote>
  <w:footnote w:id="7">
    <w:p w:rsidR="00372DA1" w:rsidRDefault="00372DA1" w:rsidP="00103FD5">
      <w:pPr>
        <w:pStyle w:val="a9"/>
      </w:pPr>
      <w:r>
        <w:rPr>
          <w:rStyle w:val="aa"/>
          <w:rFonts w:hint="eastAsia"/>
        </w:rPr>
        <w:t>（</w:t>
      </w:r>
      <w:r>
        <w:rPr>
          <w:rStyle w:val="aa"/>
        </w:rPr>
        <w:t>7</w:t>
      </w:r>
      <w:r>
        <w:rPr>
          <w:rStyle w:val="aa"/>
          <w:rFonts w:hint="eastAsia"/>
        </w:rPr>
        <w:t>）</w:t>
      </w:r>
      <w:r w:rsidRPr="00103FD5">
        <w:rPr>
          <w:rFonts w:hint="eastAsia"/>
        </w:rPr>
        <w:t>王若</w:t>
      </w:r>
      <w:r>
        <w:rPr>
          <w:rFonts w:hint="eastAsia"/>
        </w:rPr>
        <w:t>磊：《</w:t>
      </w:r>
      <w:r w:rsidRPr="00103FD5">
        <w:rPr>
          <w:rFonts w:hint="eastAsia"/>
        </w:rPr>
        <w:t>政党权威与法治建</w:t>
      </w:r>
      <w:r>
        <w:rPr>
          <w:rFonts w:hint="eastAsia"/>
        </w:rPr>
        <w:t>构</w:t>
      </w:r>
      <w:r>
        <w:t>——</w:t>
      </w:r>
      <w:r w:rsidRPr="00103FD5">
        <w:rPr>
          <w:rFonts w:hint="eastAsia"/>
        </w:rPr>
        <w:t>基于法治中国道路可能性的</w:t>
      </w:r>
      <w:r>
        <w:rPr>
          <w:rFonts w:hint="eastAsia"/>
        </w:rPr>
        <w:t>考察》，载《环球法律评论》</w:t>
      </w:r>
      <w:r>
        <w:t>2015</w:t>
      </w:r>
      <w:r w:rsidRPr="00103FD5">
        <w:t xml:space="preserve"> </w:t>
      </w:r>
      <w:r w:rsidRPr="00103FD5">
        <w:rPr>
          <w:rFonts w:hint="eastAsia"/>
        </w:rPr>
        <w:t>年第</w:t>
      </w:r>
      <w:r>
        <w:t>5</w:t>
      </w:r>
      <w:r w:rsidRPr="00103FD5">
        <w:rPr>
          <w:rFonts w:hint="eastAsia"/>
        </w:rPr>
        <w:t>期</w:t>
      </w:r>
      <w:r>
        <w:rPr>
          <w:rFonts w:hint="eastAsia"/>
        </w:rPr>
        <w:t>。</w:t>
      </w:r>
    </w:p>
  </w:footnote>
  <w:footnote w:id="8">
    <w:p w:rsidR="00372DA1" w:rsidRDefault="00372DA1">
      <w:pPr>
        <w:pStyle w:val="a9"/>
      </w:pPr>
      <w:r>
        <w:rPr>
          <w:rStyle w:val="aa"/>
          <w:rFonts w:hint="eastAsia"/>
        </w:rPr>
        <w:t>（</w:t>
      </w:r>
      <w:r>
        <w:rPr>
          <w:rStyle w:val="aa"/>
        </w:rPr>
        <w:t>8</w:t>
      </w:r>
      <w:r>
        <w:rPr>
          <w:rStyle w:val="aa"/>
          <w:rFonts w:hint="eastAsia"/>
        </w:rPr>
        <w:t>）</w:t>
      </w:r>
      <w:r>
        <w:rPr>
          <w:rFonts w:hint="eastAsia"/>
        </w:rPr>
        <w:t>陈金</w:t>
      </w:r>
      <w:r w:rsidRPr="003A3DDF">
        <w:rPr>
          <w:rFonts w:hint="eastAsia"/>
        </w:rPr>
        <w:t>钊</w:t>
      </w:r>
      <w:r>
        <w:rPr>
          <w:rFonts w:hint="eastAsia"/>
        </w:rPr>
        <w:t>：《“中国社会主义法治理论体系”之中国》，载扬州大学学报（人文社会科学版）</w:t>
      </w:r>
      <w:r>
        <w:t>2016</w:t>
      </w:r>
      <w:r>
        <w:rPr>
          <w:rFonts w:hint="eastAsia"/>
        </w:rPr>
        <w:t>年第</w:t>
      </w:r>
      <w:r>
        <w:t>1</w:t>
      </w:r>
    </w:p>
    <w:p w:rsidR="00372DA1" w:rsidRDefault="00372DA1">
      <w:pPr>
        <w:pStyle w:val="a9"/>
      </w:pPr>
      <w:r w:rsidRPr="003A3DDF">
        <w:rPr>
          <w:rFonts w:hint="eastAsia"/>
        </w:rPr>
        <w:t>期</w:t>
      </w:r>
      <w:r>
        <w:rPr>
          <w:rFonts w:hint="eastAsia"/>
        </w:rPr>
        <w:t>。</w:t>
      </w:r>
    </w:p>
  </w:footnote>
  <w:footnote w:id="9">
    <w:p w:rsidR="00372DA1" w:rsidRDefault="00372DA1" w:rsidP="00D03AC3">
      <w:pPr>
        <w:pStyle w:val="a9"/>
      </w:pPr>
      <w:r>
        <w:rPr>
          <w:rStyle w:val="aa"/>
          <w:rFonts w:hint="eastAsia"/>
        </w:rPr>
        <w:t>（</w:t>
      </w:r>
      <w:r>
        <w:rPr>
          <w:rStyle w:val="aa"/>
        </w:rPr>
        <w:t>9</w:t>
      </w:r>
      <w:r>
        <w:rPr>
          <w:rStyle w:val="aa"/>
          <w:rFonts w:hint="eastAsia"/>
        </w:rPr>
        <w:t>）</w:t>
      </w:r>
      <w:r w:rsidRPr="00D03AC3">
        <w:rPr>
          <w:rFonts w:hint="eastAsia"/>
        </w:rPr>
        <w:t>参见［美］小奥利弗·温德尔·霍姆斯</w:t>
      </w:r>
      <w:r>
        <w:t>:</w:t>
      </w:r>
      <w:r w:rsidRPr="00D03AC3">
        <w:rPr>
          <w:rFonts w:hint="eastAsia"/>
        </w:rPr>
        <w:t>《普通法》，冉昊、姚中秋译，中国政法大学出版社</w:t>
      </w:r>
      <w:r>
        <w:t>2006</w:t>
      </w:r>
      <w:r w:rsidRPr="00D03AC3">
        <w:rPr>
          <w:rFonts w:hint="eastAsia"/>
        </w:rPr>
        <w:t>年版，第</w:t>
      </w:r>
      <w:r>
        <w:t>1</w:t>
      </w:r>
      <w:r w:rsidRPr="00D03AC3">
        <w:rPr>
          <w:rFonts w:hint="eastAsia"/>
        </w:rPr>
        <w:t>页</w:t>
      </w:r>
      <w:r>
        <w:rPr>
          <w:rFonts w:hint="eastAsia"/>
        </w:rPr>
        <w:t>。</w:t>
      </w:r>
    </w:p>
  </w:footnote>
  <w:footnote w:id="10">
    <w:p w:rsidR="00372DA1" w:rsidRDefault="00372DA1">
      <w:pPr>
        <w:pStyle w:val="a9"/>
      </w:pPr>
      <w:r>
        <w:rPr>
          <w:rStyle w:val="aa"/>
          <w:rFonts w:hint="eastAsia"/>
        </w:rPr>
        <w:t>（</w:t>
      </w:r>
      <w:r>
        <w:rPr>
          <w:rStyle w:val="aa"/>
        </w:rPr>
        <w:t>10</w:t>
      </w:r>
      <w:r>
        <w:rPr>
          <w:rStyle w:val="aa"/>
          <w:rFonts w:hint="eastAsia"/>
        </w:rPr>
        <w:t>）</w:t>
      </w:r>
      <w:r>
        <w:rPr>
          <w:rFonts w:hint="eastAsia"/>
        </w:rPr>
        <w:t>参见</w:t>
      </w:r>
      <w:r w:rsidRPr="00D03AC3">
        <w:rPr>
          <w:rFonts w:hint="eastAsia"/>
        </w:rPr>
        <w:t>［美］庞德</w:t>
      </w:r>
      <w:r>
        <w:t>:</w:t>
      </w:r>
      <w:r w:rsidRPr="00D03AC3">
        <w:rPr>
          <w:rFonts w:hint="eastAsia"/>
        </w:rPr>
        <w:t>《法理学》</w:t>
      </w:r>
      <w:r>
        <w:t>(</w:t>
      </w:r>
      <w:r w:rsidRPr="00D03AC3">
        <w:rPr>
          <w:rFonts w:hint="eastAsia"/>
        </w:rPr>
        <w:t>第三卷</w:t>
      </w:r>
      <w:r w:rsidRPr="00D03AC3">
        <w:t xml:space="preserve">) </w:t>
      </w:r>
      <w:r w:rsidRPr="00D03AC3">
        <w:rPr>
          <w:rFonts w:hint="eastAsia"/>
        </w:rPr>
        <w:t>，廖德宇译，法律出版社</w:t>
      </w:r>
      <w:r>
        <w:t>2007</w:t>
      </w:r>
      <w:r w:rsidRPr="00D03AC3">
        <w:rPr>
          <w:rFonts w:hint="eastAsia"/>
        </w:rPr>
        <w:t>年版，第</w:t>
      </w:r>
      <w:r>
        <w:t>392</w:t>
      </w:r>
      <w:r w:rsidRPr="00D03AC3">
        <w:rPr>
          <w:rFonts w:hint="eastAsia"/>
        </w:rPr>
        <w:t>页。</w:t>
      </w:r>
    </w:p>
  </w:footnote>
  <w:footnote w:id="11">
    <w:p w:rsidR="00372DA1" w:rsidRDefault="00372DA1" w:rsidP="008B5039">
      <w:pPr>
        <w:pStyle w:val="a9"/>
      </w:pPr>
      <w:r>
        <w:rPr>
          <w:rStyle w:val="aa"/>
          <w:rFonts w:hint="eastAsia"/>
        </w:rPr>
        <w:t>（</w:t>
      </w:r>
      <w:r>
        <w:rPr>
          <w:rStyle w:val="aa"/>
        </w:rPr>
        <w:t>11</w:t>
      </w:r>
      <w:r>
        <w:rPr>
          <w:rStyle w:val="aa"/>
          <w:rFonts w:hint="eastAsia"/>
        </w:rPr>
        <w:t>）</w:t>
      </w:r>
      <w:r w:rsidRPr="0060072F">
        <w:rPr>
          <w:rFonts w:hint="eastAsia"/>
        </w:rPr>
        <w:t>参见［美］庞德</w:t>
      </w:r>
      <w:r w:rsidRPr="0060072F">
        <w:t>:</w:t>
      </w:r>
      <w:r w:rsidRPr="0060072F">
        <w:rPr>
          <w:rFonts w:hint="eastAsia"/>
        </w:rPr>
        <w:t>《普通法的精神》，法律出版社</w:t>
      </w:r>
      <w:r w:rsidRPr="0060072F">
        <w:t>2001</w:t>
      </w:r>
      <w:r w:rsidRPr="0060072F">
        <w:rPr>
          <w:rFonts w:hint="eastAsia"/>
        </w:rPr>
        <w:t>年版，第</w:t>
      </w:r>
      <w:r w:rsidRPr="0060072F">
        <w:t>42</w:t>
      </w:r>
      <w:r w:rsidRPr="0060072F">
        <w:rPr>
          <w:rFonts w:hint="eastAsia"/>
        </w:rPr>
        <w:t>页。</w:t>
      </w:r>
    </w:p>
  </w:footnote>
  <w:footnote w:id="12">
    <w:p w:rsidR="00372DA1" w:rsidRDefault="00372DA1" w:rsidP="002A4265">
      <w:pPr>
        <w:pStyle w:val="a9"/>
      </w:pPr>
      <w:r>
        <w:rPr>
          <w:rStyle w:val="aa"/>
          <w:rFonts w:hint="eastAsia"/>
        </w:rPr>
        <w:t>（</w:t>
      </w:r>
      <w:r>
        <w:rPr>
          <w:rStyle w:val="aa"/>
        </w:rPr>
        <w:t>12</w:t>
      </w:r>
      <w:r>
        <w:rPr>
          <w:rStyle w:val="aa"/>
          <w:rFonts w:hint="eastAsia"/>
        </w:rPr>
        <w:t>）</w:t>
      </w:r>
      <w:r w:rsidRPr="0060072F">
        <w:rPr>
          <w:rFonts w:hint="eastAsia"/>
        </w:rPr>
        <w:t>参见杨凯：审判辅助职业研究</w:t>
      </w:r>
      <w:r w:rsidRPr="0060072F">
        <w:t>——</w:t>
      </w:r>
      <w:r w:rsidRPr="0060072F">
        <w:rPr>
          <w:rFonts w:hint="eastAsia"/>
        </w:rPr>
        <w:t>以我国法官助理制度改革与建构为中心视角，武汉大学博士学位论文，第</w:t>
      </w:r>
      <w:r w:rsidRPr="0060072F">
        <w:t>127</w:t>
      </w:r>
      <w:r w:rsidRPr="0060072F">
        <w:rPr>
          <w:rFonts w:hint="eastAsia"/>
        </w:rPr>
        <w:t>页。</w:t>
      </w:r>
    </w:p>
  </w:footnote>
  <w:footnote w:id="13">
    <w:p w:rsidR="00372DA1" w:rsidRDefault="00372DA1">
      <w:pPr>
        <w:pStyle w:val="a9"/>
      </w:pPr>
      <w:r>
        <w:rPr>
          <w:rStyle w:val="aa"/>
          <w:rFonts w:hint="eastAsia"/>
        </w:rPr>
        <w:t>（</w:t>
      </w:r>
      <w:r>
        <w:rPr>
          <w:rStyle w:val="aa"/>
        </w:rPr>
        <w:t>13</w:t>
      </w:r>
      <w:r>
        <w:rPr>
          <w:rStyle w:val="aa"/>
          <w:rFonts w:hint="eastAsia"/>
        </w:rPr>
        <w:t>）</w:t>
      </w:r>
      <w:r w:rsidRPr="00070EFC">
        <w:t>[</w:t>
      </w:r>
      <w:r w:rsidRPr="00070EFC">
        <w:rPr>
          <w:rFonts w:hint="eastAsia"/>
        </w:rPr>
        <w:t>美</w:t>
      </w:r>
      <w:r w:rsidRPr="00070EFC">
        <w:t>]</w:t>
      </w:r>
      <w:r>
        <w:t>E</w:t>
      </w:r>
      <w:r w:rsidRPr="00070EFC">
        <w:t>•</w:t>
      </w:r>
      <w:r w:rsidRPr="00070EFC">
        <w:rPr>
          <w:rFonts w:hint="eastAsia"/>
        </w:rPr>
        <w:t>博登海默：《法理学：法律哲学与法律方法》，邓正来译，中国政法大学出版社</w:t>
      </w:r>
      <w:r w:rsidRPr="00070EFC">
        <w:t xml:space="preserve">1 9 </w:t>
      </w:r>
      <w:proofErr w:type="spellStart"/>
      <w:r w:rsidRPr="00070EFC">
        <w:t>9</w:t>
      </w:r>
      <w:proofErr w:type="spellEnd"/>
      <w:r w:rsidRPr="00070EFC">
        <w:t xml:space="preserve"> </w:t>
      </w:r>
      <w:proofErr w:type="spellStart"/>
      <w:r w:rsidRPr="00070EFC">
        <w:t>9</w:t>
      </w:r>
      <w:proofErr w:type="spellEnd"/>
      <w:r w:rsidRPr="00070EFC">
        <w:t xml:space="preserve"> </w:t>
      </w:r>
      <w:r w:rsidRPr="00070EFC">
        <w:rPr>
          <w:rFonts w:hint="eastAsia"/>
        </w:rPr>
        <w:t>年版，第</w:t>
      </w:r>
      <w:r w:rsidRPr="00070EFC">
        <w:t xml:space="preserve">1 4 7 </w:t>
      </w:r>
      <w:r w:rsidRPr="00070EFC">
        <w:rPr>
          <w:rFonts w:hint="eastAsia"/>
        </w:rPr>
        <w:t>页</w:t>
      </w:r>
      <w:r>
        <w:rPr>
          <w:rFonts w:hint="eastAsia"/>
        </w:rPr>
        <w:t>。</w:t>
      </w:r>
    </w:p>
  </w:footnote>
  <w:footnote w:id="14">
    <w:p w:rsidR="00372DA1" w:rsidRDefault="00372DA1" w:rsidP="006359EE">
      <w:pPr>
        <w:pStyle w:val="a9"/>
      </w:pPr>
      <w:r>
        <w:rPr>
          <w:rStyle w:val="aa"/>
          <w:rFonts w:hint="eastAsia"/>
        </w:rPr>
        <w:t>（</w:t>
      </w:r>
      <w:r>
        <w:rPr>
          <w:rStyle w:val="aa"/>
        </w:rPr>
        <w:t>14</w:t>
      </w:r>
      <w:r>
        <w:rPr>
          <w:rStyle w:val="aa"/>
          <w:rFonts w:hint="eastAsia"/>
        </w:rPr>
        <w:t>）</w:t>
      </w:r>
      <w:r>
        <w:rPr>
          <w:rFonts w:hint="eastAsia"/>
        </w:rPr>
        <w:t>史静：《</w:t>
      </w:r>
      <w:r w:rsidRPr="006359EE">
        <w:rPr>
          <w:rFonts w:hint="eastAsia"/>
        </w:rPr>
        <w:t>从</w:t>
      </w:r>
      <w:r>
        <w:rPr>
          <w:rFonts w:hint="eastAsia"/>
        </w:rPr>
        <w:t>“成本</w:t>
      </w:r>
      <w:r>
        <w:t>-</w:t>
      </w:r>
      <w:r>
        <w:rPr>
          <w:rFonts w:hint="eastAsia"/>
        </w:rPr>
        <w:t>效益”</w:t>
      </w:r>
      <w:r w:rsidRPr="006359EE">
        <w:rPr>
          <w:rFonts w:hint="eastAsia"/>
        </w:rPr>
        <w:t>理</w:t>
      </w:r>
      <w:r>
        <w:rPr>
          <w:rFonts w:hint="eastAsia"/>
        </w:rPr>
        <w:t>论</w:t>
      </w:r>
      <w:r w:rsidRPr="006359EE">
        <w:rPr>
          <w:rFonts w:hint="eastAsia"/>
        </w:rPr>
        <w:t>探求提高民事审判效益的</w:t>
      </w:r>
      <w:r>
        <w:rPr>
          <w:rFonts w:hint="eastAsia"/>
        </w:rPr>
        <w:t>实现</w:t>
      </w:r>
      <w:r>
        <w:t>——</w:t>
      </w:r>
      <w:r w:rsidRPr="006359EE">
        <w:rPr>
          <w:rFonts w:hint="eastAsia"/>
        </w:rPr>
        <w:t>以</w:t>
      </w:r>
      <w:r>
        <w:t>H</w:t>
      </w:r>
      <w:r w:rsidRPr="006359EE">
        <w:rPr>
          <w:rFonts w:hint="eastAsia"/>
        </w:rPr>
        <w:t>省</w:t>
      </w:r>
      <w:r>
        <w:t>C</w:t>
      </w:r>
      <w:r w:rsidRPr="006359EE">
        <w:rPr>
          <w:rFonts w:hint="eastAsia"/>
        </w:rPr>
        <w:t>市中院民事审判改革为蓝</w:t>
      </w:r>
      <w:r>
        <w:rPr>
          <w:rFonts w:hint="eastAsia"/>
        </w:rPr>
        <w:t>本》，载《</w:t>
      </w:r>
      <w:r w:rsidRPr="006359EE">
        <w:rPr>
          <w:rFonts w:hint="eastAsia"/>
        </w:rPr>
        <w:t>深化司法体制改革</w:t>
      </w:r>
      <w:r w:rsidRPr="006359EE">
        <w:t>——</w:t>
      </w:r>
      <w:r w:rsidRPr="006359EE">
        <w:rPr>
          <w:rFonts w:hint="eastAsia"/>
        </w:rPr>
        <w:t>第六届河北法治论坛（上册）</w:t>
      </w:r>
      <w:r>
        <w:rPr>
          <w:rFonts w:hint="eastAsia"/>
        </w:rPr>
        <w:t>》。</w:t>
      </w:r>
    </w:p>
  </w:footnote>
  <w:footnote w:id="15">
    <w:p w:rsidR="00372DA1" w:rsidRDefault="00372DA1">
      <w:pPr>
        <w:pStyle w:val="a9"/>
      </w:pPr>
      <w:r>
        <w:rPr>
          <w:rStyle w:val="aa"/>
          <w:rFonts w:hint="eastAsia"/>
        </w:rPr>
        <w:t>（</w:t>
      </w:r>
      <w:r>
        <w:rPr>
          <w:rStyle w:val="aa"/>
        </w:rPr>
        <w:t>15</w:t>
      </w:r>
      <w:r>
        <w:rPr>
          <w:rStyle w:val="aa"/>
          <w:rFonts w:hint="eastAsia"/>
        </w:rPr>
        <w:t>）</w:t>
      </w:r>
      <w:r>
        <w:rPr>
          <w:rFonts w:hint="eastAsia"/>
        </w:rPr>
        <w:t>［</w:t>
      </w:r>
      <w:r>
        <w:rPr>
          <w:rFonts w:hint="eastAsia"/>
        </w:rPr>
        <w:t>美］罗格尔·弗利南德、［美］罗德特·</w:t>
      </w:r>
      <w:r>
        <w:t>R</w:t>
      </w:r>
      <w:r>
        <w:rPr>
          <w:rFonts w:hint="eastAsia"/>
        </w:rPr>
        <w:t>·阿尔弗德：《把社会因素重新纳入研究之中</w:t>
      </w:r>
      <w:r>
        <w:t>:</w:t>
      </w:r>
      <w:r>
        <w:rPr>
          <w:rFonts w:hint="eastAsia"/>
        </w:rPr>
        <w:t>符号、实践与制度矛盾》，载［美］沃尔特·</w:t>
      </w:r>
      <w:r>
        <w:t>W</w:t>
      </w:r>
      <w:r>
        <w:rPr>
          <w:rFonts w:hint="eastAsia"/>
        </w:rPr>
        <w:t>·鲍威尔、［美］保罗·</w:t>
      </w:r>
      <w:r>
        <w:t>J</w:t>
      </w:r>
      <w:r>
        <w:rPr>
          <w:rFonts w:hint="eastAsia"/>
        </w:rPr>
        <w:t>·迪马吉奥主编：《组织分析的新制度主义》，姚伟译，上海人民出版社</w:t>
      </w:r>
      <w:r>
        <w:t>2008</w:t>
      </w:r>
      <w:r>
        <w:rPr>
          <w:rFonts w:hint="eastAsia"/>
        </w:rPr>
        <w:t>年版，第</w:t>
      </w:r>
      <w:r>
        <w:t>252</w:t>
      </w:r>
      <w:r>
        <w:rPr>
          <w:rFonts w:hint="eastAsia"/>
        </w:rPr>
        <w:t>－</w:t>
      </w:r>
      <w:r>
        <w:t>285</w:t>
      </w:r>
      <w:r>
        <w:rPr>
          <w:rFonts w:hint="eastAsia"/>
        </w:rPr>
        <w:t>页。</w:t>
      </w:r>
    </w:p>
  </w:footnote>
  <w:footnote w:id="16">
    <w:p w:rsidR="00372DA1" w:rsidRDefault="00372DA1">
      <w:pPr>
        <w:pStyle w:val="a9"/>
      </w:pPr>
      <w:r>
        <w:rPr>
          <w:rStyle w:val="aa"/>
          <w:rFonts w:hint="eastAsia"/>
        </w:rPr>
        <w:t>（</w:t>
      </w:r>
      <w:r>
        <w:rPr>
          <w:rStyle w:val="aa"/>
        </w:rPr>
        <w:t>16</w:t>
      </w:r>
      <w:r>
        <w:rPr>
          <w:rStyle w:val="aa"/>
          <w:rFonts w:hint="eastAsia"/>
        </w:rPr>
        <w:t>）</w:t>
      </w:r>
      <w:r>
        <w:rPr>
          <w:rFonts w:hint="eastAsia"/>
        </w:rPr>
        <w:t>王禄生：《地位与策略：大调解中的人民法院》，载《法制与社会发展》</w:t>
      </w:r>
      <w:r>
        <w:t>2011</w:t>
      </w:r>
      <w:r>
        <w:rPr>
          <w:rFonts w:hint="eastAsia"/>
        </w:rPr>
        <w:t>年第</w:t>
      </w:r>
      <w:r>
        <w:t>6</w:t>
      </w:r>
      <w:r>
        <w:rPr>
          <w:rFonts w:hint="eastAsia"/>
        </w:rPr>
        <w:t>期。</w:t>
      </w:r>
    </w:p>
  </w:footnote>
  <w:footnote w:id="17">
    <w:p w:rsidR="00372DA1" w:rsidRDefault="00372DA1">
      <w:pPr>
        <w:pStyle w:val="a9"/>
      </w:pPr>
      <w:r>
        <w:rPr>
          <w:rStyle w:val="aa"/>
          <w:rFonts w:hint="eastAsia"/>
        </w:rPr>
        <w:t>（</w:t>
      </w:r>
      <w:r>
        <w:rPr>
          <w:rStyle w:val="aa"/>
        </w:rPr>
        <w:t>17</w:t>
      </w:r>
      <w:r>
        <w:rPr>
          <w:rStyle w:val="aa"/>
          <w:rFonts w:hint="eastAsia"/>
        </w:rPr>
        <w:t>）</w:t>
      </w:r>
      <w:r>
        <w:rPr>
          <w:rFonts w:hint="eastAsia"/>
        </w:rPr>
        <w:t>王禄生：《相马与赛马：中国初任法官选任机制实证研究》，载《法制与社会发展》</w:t>
      </w:r>
      <w:r>
        <w:t>(</w:t>
      </w:r>
      <w:r>
        <w:rPr>
          <w:rFonts w:hint="eastAsia"/>
        </w:rPr>
        <w:t>双月刊</w:t>
      </w:r>
      <w:r>
        <w:t>)</w:t>
      </w:r>
      <w:r>
        <w:rPr>
          <w:rFonts w:hint="eastAsia"/>
        </w:rPr>
        <w:t>，</w:t>
      </w:r>
      <w:r>
        <w:t xml:space="preserve">2015 </w:t>
      </w:r>
      <w:r>
        <w:rPr>
          <w:rFonts w:hint="eastAsia"/>
        </w:rPr>
        <w:t>年第</w:t>
      </w:r>
      <w:r>
        <w:t xml:space="preserve"> 2 </w:t>
      </w:r>
      <w:r>
        <w:rPr>
          <w:rFonts w:hint="eastAsia"/>
        </w:rPr>
        <w:t>期。</w:t>
      </w:r>
    </w:p>
  </w:footnote>
  <w:footnote w:id="18">
    <w:p w:rsidR="00372DA1" w:rsidRDefault="00372DA1">
      <w:pPr>
        <w:pStyle w:val="a9"/>
      </w:pPr>
      <w:r>
        <w:rPr>
          <w:rStyle w:val="aa"/>
          <w:rFonts w:hint="eastAsia"/>
        </w:rPr>
        <w:t>（</w:t>
      </w:r>
      <w:r>
        <w:rPr>
          <w:rStyle w:val="aa"/>
        </w:rPr>
        <w:t>18</w:t>
      </w:r>
      <w:r>
        <w:rPr>
          <w:rStyle w:val="aa"/>
          <w:rFonts w:hint="eastAsia"/>
        </w:rPr>
        <w:t>）</w:t>
      </w:r>
      <w:r>
        <w:rPr>
          <w:rFonts w:hint="eastAsia"/>
        </w:rPr>
        <w:t>尚航标，田国双，李卫宁：《组织社会学新制度主义与管理研究》，载《东北农业大学学报</w:t>
      </w:r>
      <w:r>
        <w:t>(</w:t>
      </w:r>
      <w:r>
        <w:rPr>
          <w:rFonts w:hint="eastAsia"/>
        </w:rPr>
        <w:t>社会科学版</w:t>
      </w:r>
      <w:r>
        <w:t>)</w:t>
      </w:r>
      <w:r>
        <w:rPr>
          <w:rFonts w:hint="eastAsia"/>
        </w:rPr>
        <w:t>》，</w:t>
      </w:r>
      <w:r>
        <w:t>2011</w:t>
      </w:r>
      <w:r>
        <w:rPr>
          <w:rFonts w:hint="eastAsia"/>
        </w:rPr>
        <w:t>年第</w:t>
      </w:r>
      <w:r>
        <w:t>2</w:t>
      </w:r>
      <w:r>
        <w:rPr>
          <w:rFonts w:hint="eastAsia"/>
        </w:rPr>
        <w:t>期。</w:t>
      </w:r>
    </w:p>
  </w:footnote>
  <w:footnote w:id="19">
    <w:p w:rsidR="00372DA1" w:rsidRDefault="00372DA1">
      <w:pPr>
        <w:pStyle w:val="a9"/>
      </w:pPr>
      <w:r>
        <w:rPr>
          <w:rStyle w:val="aa"/>
          <w:rFonts w:hint="eastAsia"/>
        </w:rPr>
        <w:t>（</w:t>
      </w:r>
      <w:r>
        <w:rPr>
          <w:rStyle w:val="aa"/>
        </w:rPr>
        <w:t>19</w:t>
      </w:r>
      <w:r>
        <w:rPr>
          <w:rStyle w:val="aa"/>
          <w:rFonts w:hint="eastAsia"/>
        </w:rPr>
        <w:t>）</w:t>
      </w:r>
      <w:r>
        <w:rPr>
          <w:rFonts w:hint="eastAsia"/>
        </w:rPr>
        <w:t>［</w:t>
      </w:r>
      <w:r>
        <w:rPr>
          <w:rFonts w:hint="eastAsia"/>
        </w:rPr>
        <w:t>美］</w:t>
      </w:r>
      <w:r>
        <w:t>W</w:t>
      </w:r>
      <w:r>
        <w:rPr>
          <w:rFonts w:hint="eastAsia"/>
        </w:rPr>
        <w:t>·理查德·斯科特：《制度理论剖析》，载［美］沃尔特·</w:t>
      </w:r>
      <w:r>
        <w:t>W</w:t>
      </w:r>
      <w:r>
        <w:rPr>
          <w:rFonts w:hint="eastAsia"/>
        </w:rPr>
        <w:t>·鲍威尔、［美］保罗·</w:t>
      </w:r>
      <w:r>
        <w:t>J</w:t>
      </w:r>
      <w:r>
        <w:rPr>
          <w:rFonts w:hint="eastAsia"/>
        </w:rPr>
        <w:t>·迪马吉奥主编：《组织分析的新制度主义》，姚伟译，上海人民出版社</w:t>
      </w:r>
      <w:r>
        <w:t>2008</w:t>
      </w:r>
      <w:r>
        <w:rPr>
          <w:rFonts w:hint="eastAsia"/>
        </w:rPr>
        <w:t>年版，第</w:t>
      </w:r>
      <w:r>
        <w:t>189</w:t>
      </w:r>
      <w:r>
        <w:rPr>
          <w:rFonts w:hint="eastAsia"/>
        </w:rPr>
        <w:t>页。</w:t>
      </w:r>
    </w:p>
  </w:footnote>
  <w:footnote w:id="20">
    <w:p w:rsidR="00372DA1" w:rsidRDefault="00372DA1">
      <w:pPr>
        <w:pStyle w:val="a9"/>
      </w:pPr>
      <w:r>
        <w:rPr>
          <w:rStyle w:val="aa"/>
          <w:rFonts w:hint="eastAsia"/>
        </w:rPr>
        <w:t>（</w:t>
      </w:r>
      <w:r>
        <w:rPr>
          <w:rStyle w:val="aa"/>
        </w:rPr>
        <w:t>20</w:t>
      </w:r>
      <w:r>
        <w:rPr>
          <w:rStyle w:val="aa"/>
          <w:rFonts w:hint="eastAsia"/>
        </w:rPr>
        <w:t>）</w:t>
      </w:r>
      <w:r>
        <w:t xml:space="preserve">Calvin </w:t>
      </w:r>
      <w:proofErr w:type="spellStart"/>
      <w:r>
        <w:t>Momill</w:t>
      </w:r>
      <w:proofErr w:type="spellEnd"/>
      <w:r>
        <w:rPr>
          <w:rFonts w:hint="eastAsia"/>
        </w:rPr>
        <w:t>、</w:t>
      </w:r>
      <w:r>
        <w:t>Cindy McKee</w:t>
      </w:r>
      <w:r>
        <w:rPr>
          <w:rFonts w:hint="eastAsia"/>
        </w:rPr>
        <w:t>，</w:t>
      </w:r>
      <w:r>
        <w:t>Institutional Isomorphism and Informal Social Control: Evidence from a Community Mediation Center</w:t>
      </w:r>
      <w:r>
        <w:rPr>
          <w:rFonts w:hint="eastAsia"/>
        </w:rPr>
        <w:t>，</w:t>
      </w:r>
      <w:r>
        <w:t>Social Problems 4 (1993).</w:t>
      </w:r>
    </w:p>
  </w:footnote>
  <w:footnote w:id="21">
    <w:p w:rsidR="00372DA1" w:rsidRDefault="00372DA1">
      <w:pPr>
        <w:pStyle w:val="a9"/>
      </w:pPr>
      <w:r>
        <w:rPr>
          <w:rStyle w:val="aa"/>
          <w:rFonts w:hint="eastAsia"/>
        </w:rPr>
        <w:t>（</w:t>
      </w:r>
      <w:r>
        <w:rPr>
          <w:rStyle w:val="aa"/>
        </w:rPr>
        <w:t>21</w:t>
      </w:r>
      <w:r>
        <w:rPr>
          <w:rStyle w:val="aa"/>
          <w:rFonts w:hint="eastAsia"/>
        </w:rPr>
        <w:t>）</w:t>
      </w:r>
      <w:r>
        <w:rPr>
          <w:rFonts w:hint="eastAsia"/>
        </w:rPr>
        <w:t>王禄生：《相马与赛马：中国初任法官选任机制实证研究》，载《法制与社会发展</w:t>
      </w:r>
      <w:r>
        <w:t xml:space="preserve">( </w:t>
      </w:r>
      <w:r>
        <w:rPr>
          <w:rFonts w:hint="eastAsia"/>
        </w:rPr>
        <w:t>双月刊</w:t>
      </w:r>
      <w:r>
        <w:t>)</w:t>
      </w:r>
      <w:r>
        <w:rPr>
          <w:rFonts w:hint="eastAsia"/>
        </w:rPr>
        <w:t>》，</w:t>
      </w:r>
      <w:r>
        <w:t xml:space="preserve">2015 </w:t>
      </w:r>
      <w:r>
        <w:rPr>
          <w:rFonts w:hint="eastAsia"/>
        </w:rPr>
        <w:t>年第</w:t>
      </w:r>
      <w:r>
        <w:t xml:space="preserve"> 2 </w:t>
      </w:r>
      <w:r>
        <w:rPr>
          <w:rFonts w:hint="eastAsia"/>
        </w:rPr>
        <w:t>期</w:t>
      </w:r>
      <w:r>
        <w:t xml:space="preserve"> </w:t>
      </w:r>
      <w:r>
        <w:rPr>
          <w:rFonts w:hint="eastAsia"/>
        </w:rPr>
        <w:t>。</w:t>
      </w:r>
    </w:p>
  </w:footnote>
  <w:footnote w:id="22">
    <w:p w:rsidR="00372DA1" w:rsidRDefault="00372DA1">
      <w:pPr>
        <w:pStyle w:val="a9"/>
      </w:pPr>
      <w:r>
        <w:rPr>
          <w:rStyle w:val="aa"/>
          <w:rFonts w:hint="eastAsia"/>
        </w:rPr>
        <w:t>（</w:t>
      </w:r>
      <w:r>
        <w:rPr>
          <w:rStyle w:val="aa"/>
        </w:rPr>
        <w:t>22</w:t>
      </w:r>
      <w:r>
        <w:rPr>
          <w:rStyle w:val="aa"/>
          <w:rFonts w:hint="eastAsia"/>
        </w:rPr>
        <w:t>）</w:t>
      </w:r>
      <w:r>
        <w:rPr>
          <w:rFonts w:hint="eastAsia"/>
        </w:rPr>
        <w:t>胡道：《地方法院法官选任权由省级统管是深化司法体制改革的突破口》，载《人民司法（应用）》，</w:t>
      </w:r>
      <w:r>
        <w:t>2013</w:t>
      </w:r>
      <w:r>
        <w:rPr>
          <w:rFonts w:hint="eastAsia"/>
        </w:rPr>
        <w:t>年</w:t>
      </w:r>
      <w:r>
        <w:t>17</w:t>
      </w:r>
      <w:r>
        <w:rPr>
          <w:rFonts w:hint="eastAsia"/>
        </w:rPr>
        <w:t>期。</w:t>
      </w:r>
      <w:r>
        <w:t xml:space="preserve"> </w:t>
      </w:r>
    </w:p>
  </w:footnote>
  <w:footnote w:id="23">
    <w:p w:rsidR="00372DA1" w:rsidRDefault="00372DA1">
      <w:pPr>
        <w:pStyle w:val="a9"/>
      </w:pPr>
      <w:r>
        <w:rPr>
          <w:rStyle w:val="aa"/>
          <w:rFonts w:hint="eastAsia"/>
        </w:rPr>
        <w:t>（</w:t>
      </w:r>
      <w:r>
        <w:rPr>
          <w:rStyle w:val="aa"/>
        </w:rPr>
        <w:t>23</w:t>
      </w:r>
      <w:r>
        <w:rPr>
          <w:rStyle w:val="aa"/>
          <w:rFonts w:hint="eastAsia"/>
        </w:rPr>
        <w:t>）</w:t>
      </w:r>
      <w:r w:rsidRPr="00054057">
        <w:rPr>
          <w:rFonts w:hint="eastAsia"/>
        </w:rPr>
        <w:t>刘练军</w:t>
      </w:r>
      <w:r>
        <w:rPr>
          <w:rFonts w:hint="eastAsia"/>
        </w:rPr>
        <w:t>：《</w:t>
      </w:r>
      <w:r w:rsidRPr="00054057">
        <w:rPr>
          <w:rFonts w:hint="eastAsia"/>
        </w:rPr>
        <w:t>法官助理制度的法理分析</w:t>
      </w:r>
      <w:r>
        <w:rPr>
          <w:rFonts w:hint="eastAsia"/>
        </w:rPr>
        <w:t>》，载《</w:t>
      </w:r>
      <w:r w:rsidRPr="00054057">
        <w:rPr>
          <w:rFonts w:hint="eastAsia"/>
        </w:rPr>
        <w:t>法律科学</w:t>
      </w:r>
      <w:r w:rsidRPr="00054057">
        <w:t xml:space="preserve">( </w:t>
      </w:r>
      <w:r w:rsidRPr="00054057">
        <w:rPr>
          <w:rFonts w:hint="eastAsia"/>
        </w:rPr>
        <w:t>西北政法大学学报</w:t>
      </w:r>
      <w:r w:rsidRPr="00054057">
        <w:t>)</w:t>
      </w:r>
      <w:r>
        <w:rPr>
          <w:rFonts w:hint="eastAsia"/>
        </w:rPr>
        <w:t>》，</w:t>
      </w:r>
      <w:r w:rsidRPr="00054057">
        <w:t xml:space="preserve">2017 </w:t>
      </w:r>
      <w:r w:rsidRPr="00054057">
        <w:rPr>
          <w:rFonts w:hint="eastAsia"/>
        </w:rPr>
        <w:t>年第</w:t>
      </w:r>
      <w:r w:rsidRPr="00054057">
        <w:t xml:space="preserve">4 </w:t>
      </w:r>
      <w:r w:rsidRPr="00054057">
        <w:rPr>
          <w:rFonts w:hint="eastAsia"/>
        </w:rPr>
        <w:t>期</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F81EE5"/>
    <w:lvl w:ilvl="0">
      <w:start w:val="1"/>
      <w:numFmt w:val="decimal"/>
      <w:suff w:val="nothing"/>
      <w:lvlText w:val="%1."/>
      <w:lvlJc w:val="left"/>
      <w:rPr>
        <w:rFonts w:cs="Times New Roman"/>
      </w:rPr>
    </w:lvl>
  </w:abstractNum>
  <w:abstractNum w:abstractNumId="1">
    <w:nsid w:val="00000002"/>
    <w:multiLevelType w:val="hybridMultilevel"/>
    <w:tmpl w:val="3A4C0350"/>
    <w:lvl w:ilvl="0" w:tplc="87B814A4">
      <w:start w:val="4"/>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00000003"/>
    <w:multiLevelType w:val="hybridMultilevel"/>
    <w:tmpl w:val="7A1E3FA6"/>
    <w:lvl w:ilvl="0" w:tplc="62467BB0">
      <w:start w:val="2"/>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00000004"/>
    <w:multiLevelType w:val="hybridMultilevel"/>
    <w:tmpl w:val="D41A87E8"/>
    <w:lvl w:ilvl="0" w:tplc="EF008CA4">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00000005"/>
    <w:multiLevelType w:val="singleLevel"/>
    <w:tmpl w:val="5AF70B40"/>
    <w:lvl w:ilvl="0">
      <w:start w:val="1"/>
      <w:numFmt w:val="chineseCounting"/>
      <w:suff w:val="nothing"/>
      <w:lvlText w:val="%1、"/>
      <w:lvlJc w:val="left"/>
      <w:rPr>
        <w:rFonts w:cs="Times New Roman"/>
      </w:rPr>
    </w:lvl>
  </w:abstractNum>
  <w:abstractNum w:abstractNumId="5">
    <w:nsid w:val="00000006"/>
    <w:multiLevelType w:val="singleLevel"/>
    <w:tmpl w:val="ABDBF4A9"/>
    <w:lvl w:ilvl="0">
      <w:start w:val="1"/>
      <w:numFmt w:val="decimal"/>
      <w:lvlText w:val="%1."/>
      <w:lvlJc w:val="left"/>
      <w:pPr>
        <w:tabs>
          <w:tab w:val="left" w:pos="312"/>
        </w:tabs>
      </w:pPr>
      <w:rPr>
        <w:rFonts w:cs="Times New Roman"/>
      </w:rPr>
    </w:lvl>
  </w:abstractNum>
  <w:abstractNum w:abstractNumId="6">
    <w:nsid w:val="00000007"/>
    <w:multiLevelType w:val="singleLevel"/>
    <w:tmpl w:val="5AF74AC6"/>
    <w:lvl w:ilvl="0">
      <w:start w:val="1"/>
      <w:numFmt w:val="decimal"/>
      <w:suff w:val="nothing"/>
      <w:lvlText w:val="%1."/>
      <w:lvlJc w:val="left"/>
      <w:rPr>
        <w:rFonts w:cs="Times New Roman"/>
      </w:rPr>
    </w:lvl>
  </w:abstractNum>
  <w:abstractNum w:abstractNumId="7">
    <w:nsid w:val="00000008"/>
    <w:multiLevelType w:val="singleLevel"/>
    <w:tmpl w:val="5AF70B8C"/>
    <w:lvl w:ilvl="0">
      <w:start w:val="1"/>
      <w:numFmt w:val="chineseCounting"/>
      <w:suff w:val="nothing"/>
      <w:lvlText w:val="（%1）"/>
      <w:lvlJc w:val="left"/>
      <w:rPr>
        <w:rFonts w:cs="Times New Roman"/>
      </w:rPr>
    </w:lvl>
  </w:abstractNum>
  <w:abstractNum w:abstractNumId="8">
    <w:nsid w:val="00000009"/>
    <w:multiLevelType w:val="singleLevel"/>
    <w:tmpl w:val="C602ED03"/>
    <w:lvl w:ilvl="0">
      <w:start w:val="1"/>
      <w:numFmt w:val="decimal"/>
      <w:lvlText w:val="%1."/>
      <w:lvlJc w:val="left"/>
      <w:pPr>
        <w:tabs>
          <w:tab w:val="left" w:pos="312"/>
        </w:tabs>
      </w:pPr>
      <w:rPr>
        <w:rFonts w:cs="Times New Roman"/>
      </w:rPr>
    </w:lvl>
  </w:abstractNum>
  <w:abstractNum w:abstractNumId="9">
    <w:nsid w:val="0000000A"/>
    <w:multiLevelType w:val="singleLevel"/>
    <w:tmpl w:val="1C541AC8"/>
    <w:lvl w:ilvl="0">
      <w:start w:val="1"/>
      <w:numFmt w:val="decimal"/>
      <w:lvlText w:val="%1."/>
      <w:lvlJc w:val="left"/>
      <w:pPr>
        <w:tabs>
          <w:tab w:val="left" w:pos="312"/>
        </w:tabs>
      </w:pPr>
      <w:rPr>
        <w:rFonts w:cs="Times New Roman"/>
      </w:rPr>
    </w:lvl>
  </w:abstractNum>
  <w:abstractNum w:abstractNumId="10">
    <w:nsid w:val="0000000B"/>
    <w:multiLevelType w:val="singleLevel"/>
    <w:tmpl w:val="5AF70C1B"/>
    <w:lvl w:ilvl="0">
      <w:start w:val="1"/>
      <w:numFmt w:val="chineseCounting"/>
      <w:suff w:val="nothing"/>
      <w:lvlText w:val="（%1）"/>
      <w:lvlJc w:val="left"/>
      <w:rPr>
        <w:rFonts w:cs="Times New Roman"/>
      </w:rPr>
    </w:lvl>
  </w:abstractNum>
  <w:abstractNum w:abstractNumId="11">
    <w:nsid w:val="0000000C"/>
    <w:multiLevelType w:val="singleLevel"/>
    <w:tmpl w:val="5AF97778"/>
    <w:lvl w:ilvl="0">
      <w:start w:val="1"/>
      <w:numFmt w:val="decimal"/>
      <w:suff w:val="nothing"/>
      <w:lvlText w:val="%1."/>
      <w:lvlJc w:val="left"/>
      <w:rPr>
        <w:rFonts w:cs="Times New Roman"/>
      </w:rPr>
    </w:lvl>
  </w:abstractNum>
  <w:abstractNum w:abstractNumId="12">
    <w:nsid w:val="0000000D"/>
    <w:multiLevelType w:val="singleLevel"/>
    <w:tmpl w:val="5AF970B8"/>
    <w:lvl w:ilvl="0">
      <w:start w:val="1"/>
      <w:numFmt w:val="decimal"/>
      <w:suff w:val="nothing"/>
      <w:lvlText w:val="%1."/>
      <w:lvlJc w:val="left"/>
      <w:rPr>
        <w:rFonts w:cs="Times New Roman"/>
      </w:rPr>
    </w:lvl>
  </w:abstractNum>
  <w:abstractNum w:abstractNumId="13">
    <w:nsid w:val="0000000E"/>
    <w:multiLevelType w:val="singleLevel"/>
    <w:tmpl w:val="BF1C9CD4"/>
    <w:lvl w:ilvl="0">
      <w:start w:val="1"/>
      <w:numFmt w:val="decimal"/>
      <w:lvlText w:val="%1."/>
      <w:lvlJc w:val="left"/>
      <w:pPr>
        <w:tabs>
          <w:tab w:val="left" w:pos="312"/>
        </w:tabs>
      </w:pPr>
      <w:rPr>
        <w:rFonts w:cs="Times New Roman"/>
      </w:rPr>
    </w:lvl>
  </w:abstractNum>
  <w:abstractNum w:abstractNumId="14">
    <w:nsid w:val="0000000F"/>
    <w:multiLevelType w:val="singleLevel"/>
    <w:tmpl w:val="8C7F37C2"/>
    <w:lvl w:ilvl="0">
      <w:start w:val="1"/>
      <w:numFmt w:val="decimal"/>
      <w:lvlText w:val="%1."/>
      <w:lvlJc w:val="left"/>
      <w:pPr>
        <w:tabs>
          <w:tab w:val="left" w:pos="312"/>
        </w:tabs>
      </w:pPr>
      <w:rPr>
        <w:rFonts w:cs="Times New Roman"/>
      </w:rPr>
    </w:lvl>
  </w:abstractNum>
  <w:abstractNum w:abstractNumId="15">
    <w:nsid w:val="00000010"/>
    <w:multiLevelType w:val="multilevel"/>
    <w:tmpl w:val="5AF70BC3"/>
    <w:lvl w:ilvl="0">
      <w:start w:val="1"/>
      <w:numFmt w:val="chineseCounting"/>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EnclosedCircleChinese"/>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Roman"/>
      <w:suff w:val="nothing"/>
      <w:lvlText w:val="%8．"/>
      <w:lvlJc w:val="left"/>
      <w:rPr>
        <w:rFonts w:cs="Times New Roman"/>
      </w:rPr>
    </w:lvl>
    <w:lvl w:ilvl="8">
      <w:start w:val="1"/>
      <w:numFmt w:val="lowerRoman"/>
      <w:suff w:val="nothing"/>
      <w:lvlText w:val="%9）"/>
      <w:lvlJc w:val="left"/>
      <w:rPr>
        <w:rFonts w:cs="Times New Roman"/>
      </w:rPr>
    </w:lvl>
  </w:abstractNum>
  <w:abstractNum w:abstractNumId="16">
    <w:nsid w:val="00000011"/>
    <w:multiLevelType w:val="hybridMultilevel"/>
    <w:tmpl w:val="8D847DD0"/>
    <w:lvl w:ilvl="0" w:tplc="42341562">
      <w:start w:val="1"/>
      <w:numFmt w:val="japaneseCounting"/>
      <w:lvlText w:val="（%1）"/>
      <w:lvlJc w:val="left"/>
      <w:pPr>
        <w:ind w:left="2245" w:hanging="160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00000012"/>
    <w:multiLevelType w:val="singleLevel"/>
    <w:tmpl w:val="9F920C13"/>
    <w:lvl w:ilvl="0">
      <w:start w:val="1"/>
      <w:numFmt w:val="decimal"/>
      <w:lvlText w:val="%1."/>
      <w:lvlJc w:val="left"/>
      <w:pPr>
        <w:tabs>
          <w:tab w:val="left" w:pos="312"/>
        </w:tabs>
      </w:pPr>
      <w:rPr>
        <w:rFonts w:cs="Times New Roman"/>
      </w:rPr>
    </w:lvl>
  </w:abstractNum>
  <w:abstractNum w:abstractNumId="18">
    <w:nsid w:val="00000013"/>
    <w:multiLevelType w:val="singleLevel"/>
    <w:tmpl w:val="B054DCD9"/>
    <w:lvl w:ilvl="0">
      <w:start w:val="1"/>
      <w:numFmt w:val="decimal"/>
      <w:lvlText w:val="%1."/>
      <w:lvlJc w:val="left"/>
      <w:pPr>
        <w:tabs>
          <w:tab w:val="left" w:pos="312"/>
        </w:tabs>
      </w:pPr>
      <w:rPr>
        <w:rFonts w:cs="Times New Roman"/>
      </w:rPr>
    </w:lvl>
  </w:abstractNum>
  <w:abstractNum w:abstractNumId="19">
    <w:nsid w:val="00000014"/>
    <w:multiLevelType w:val="hybridMultilevel"/>
    <w:tmpl w:val="6C9E87B4"/>
    <w:lvl w:ilvl="0" w:tplc="15F847F2">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00000015"/>
    <w:multiLevelType w:val="hybridMultilevel"/>
    <w:tmpl w:val="3C90C6AE"/>
    <w:lvl w:ilvl="0" w:tplc="5212077A">
      <w:start w:val="2"/>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1">
    <w:nsid w:val="00000016"/>
    <w:multiLevelType w:val="singleLevel"/>
    <w:tmpl w:val="C75201FC"/>
    <w:lvl w:ilvl="0">
      <w:start w:val="1"/>
      <w:numFmt w:val="decimal"/>
      <w:lvlText w:val="%1."/>
      <w:lvlJc w:val="left"/>
      <w:pPr>
        <w:tabs>
          <w:tab w:val="left" w:pos="312"/>
        </w:tabs>
      </w:pPr>
      <w:rPr>
        <w:rFonts w:cs="Times New Roman"/>
      </w:rPr>
    </w:lvl>
  </w:abstractNum>
  <w:abstractNum w:abstractNumId="22">
    <w:nsid w:val="00000017"/>
    <w:multiLevelType w:val="singleLevel"/>
    <w:tmpl w:val="145C49E5"/>
    <w:lvl w:ilvl="0">
      <w:start w:val="1"/>
      <w:numFmt w:val="decimal"/>
      <w:lvlText w:val="%1."/>
      <w:lvlJc w:val="left"/>
      <w:pPr>
        <w:tabs>
          <w:tab w:val="left" w:pos="312"/>
        </w:tabs>
      </w:pPr>
      <w:rPr>
        <w:rFonts w:cs="Times New Roman"/>
      </w:rPr>
    </w:lvl>
  </w:abstractNum>
  <w:abstractNum w:abstractNumId="23">
    <w:nsid w:val="00000018"/>
    <w:multiLevelType w:val="singleLevel"/>
    <w:tmpl w:val="5AF7421B"/>
    <w:lvl w:ilvl="0">
      <w:start w:val="1"/>
      <w:numFmt w:val="decimal"/>
      <w:suff w:val="nothing"/>
      <w:lvlText w:val="%1."/>
      <w:lvlJc w:val="left"/>
      <w:rPr>
        <w:rFonts w:cs="Times New Roman"/>
      </w:rPr>
    </w:lvl>
  </w:abstractNum>
  <w:abstractNum w:abstractNumId="24">
    <w:nsid w:val="14FE1A97"/>
    <w:multiLevelType w:val="hybridMultilevel"/>
    <w:tmpl w:val="F5CA118C"/>
    <w:lvl w:ilvl="0" w:tplc="06D463C4">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386949FA"/>
    <w:multiLevelType w:val="hybridMultilevel"/>
    <w:tmpl w:val="155603C4"/>
    <w:lvl w:ilvl="0" w:tplc="9B7A12F8">
      <w:start w:val="3"/>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6">
    <w:nsid w:val="38955FBB"/>
    <w:multiLevelType w:val="singleLevel"/>
    <w:tmpl w:val="680279C6"/>
    <w:lvl w:ilvl="0">
      <w:start w:val="1"/>
      <w:numFmt w:val="decimal"/>
      <w:lvlText w:val="%1."/>
      <w:lvlJc w:val="left"/>
      <w:pPr>
        <w:tabs>
          <w:tab w:val="left" w:pos="312"/>
        </w:tabs>
      </w:pPr>
      <w:rPr>
        <w:rFonts w:cs="Times New Roman"/>
      </w:rPr>
    </w:lvl>
  </w:abstractNum>
  <w:abstractNum w:abstractNumId="27">
    <w:nsid w:val="62EF35A8"/>
    <w:multiLevelType w:val="hybridMultilevel"/>
    <w:tmpl w:val="C178BC64"/>
    <w:lvl w:ilvl="0" w:tplc="02B0681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B536624"/>
    <w:multiLevelType w:val="hybridMultilevel"/>
    <w:tmpl w:val="1EDA18BA"/>
    <w:lvl w:ilvl="0" w:tplc="971819D4">
      <w:start w:val="2"/>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4"/>
  </w:num>
  <w:num w:numId="2">
    <w:abstractNumId w:val="26"/>
  </w:num>
  <w:num w:numId="3">
    <w:abstractNumId w:val="3"/>
  </w:num>
  <w:num w:numId="4">
    <w:abstractNumId w:val="17"/>
  </w:num>
  <w:num w:numId="5">
    <w:abstractNumId w:val="16"/>
  </w:num>
  <w:num w:numId="6">
    <w:abstractNumId w:val="9"/>
  </w:num>
  <w:num w:numId="7">
    <w:abstractNumId w:val="19"/>
  </w:num>
  <w:num w:numId="8">
    <w:abstractNumId w:val="21"/>
  </w:num>
  <w:num w:numId="9">
    <w:abstractNumId w:val="1"/>
  </w:num>
  <w:num w:numId="10">
    <w:abstractNumId w:val="7"/>
  </w:num>
  <w:num w:numId="11">
    <w:abstractNumId w:val="10"/>
  </w:num>
  <w:num w:numId="12">
    <w:abstractNumId w:val="22"/>
  </w:num>
  <w:num w:numId="13">
    <w:abstractNumId w:val="18"/>
  </w:num>
  <w:num w:numId="14">
    <w:abstractNumId w:val="6"/>
  </w:num>
  <w:num w:numId="15">
    <w:abstractNumId w:val="23"/>
  </w:num>
  <w:num w:numId="16">
    <w:abstractNumId w:val="11"/>
  </w:num>
  <w:num w:numId="17">
    <w:abstractNumId w:val="8"/>
  </w:num>
  <w:num w:numId="18">
    <w:abstractNumId w:val="5"/>
  </w:num>
  <w:num w:numId="19">
    <w:abstractNumId w:val="0"/>
  </w:num>
  <w:num w:numId="20">
    <w:abstractNumId w:val="20"/>
  </w:num>
  <w:num w:numId="21">
    <w:abstractNumId w:val="4"/>
  </w:num>
  <w:num w:numId="22">
    <w:abstractNumId w:val="15"/>
  </w:num>
  <w:num w:numId="23">
    <w:abstractNumId w:val="2"/>
  </w:num>
  <w:num w:numId="24">
    <w:abstractNumId w:val="13"/>
  </w:num>
  <w:num w:numId="25">
    <w:abstractNumId w:val="12"/>
  </w:num>
  <w:num w:numId="26">
    <w:abstractNumId w:val="24"/>
  </w:num>
  <w:num w:numId="27">
    <w:abstractNumId w:val="25"/>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675"/>
    <w:rsid w:val="0001130F"/>
    <w:rsid w:val="000215DD"/>
    <w:rsid w:val="00032570"/>
    <w:rsid w:val="00034BB1"/>
    <w:rsid w:val="000406C0"/>
    <w:rsid w:val="00054057"/>
    <w:rsid w:val="00063BD5"/>
    <w:rsid w:val="000667E7"/>
    <w:rsid w:val="00070EFC"/>
    <w:rsid w:val="00080E38"/>
    <w:rsid w:val="00081460"/>
    <w:rsid w:val="000824B5"/>
    <w:rsid w:val="00083B1D"/>
    <w:rsid w:val="00094B4B"/>
    <w:rsid w:val="000B3D50"/>
    <w:rsid w:val="000B5888"/>
    <w:rsid w:val="000D2029"/>
    <w:rsid w:val="000E1982"/>
    <w:rsid w:val="000F02BC"/>
    <w:rsid w:val="000F7293"/>
    <w:rsid w:val="000F75B7"/>
    <w:rsid w:val="001024C3"/>
    <w:rsid w:val="00103FD5"/>
    <w:rsid w:val="001054E2"/>
    <w:rsid w:val="00112952"/>
    <w:rsid w:val="00116780"/>
    <w:rsid w:val="00121B90"/>
    <w:rsid w:val="00130F7B"/>
    <w:rsid w:val="00137480"/>
    <w:rsid w:val="00144B66"/>
    <w:rsid w:val="00147878"/>
    <w:rsid w:val="00164392"/>
    <w:rsid w:val="00180AF0"/>
    <w:rsid w:val="00182974"/>
    <w:rsid w:val="001B1703"/>
    <w:rsid w:val="001B225A"/>
    <w:rsid w:val="001B5FD8"/>
    <w:rsid w:val="001C4D5F"/>
    <w:rsid w:val="001C5E6E"/>
    <w:rsid w:val="001C6DD6"/>
    <w:rsid w:val="001D4A96"/>
    <w:rsid w:val="001E3D00"/>
    <w:rsid w:val="001F140B"/>
    <w:rsid w:val="00207CC3"/>
    <w:rsid w:val="00210B50"/>
    <w:rsid w:val="00213FFF"/>
    <w:rsid w:val="00230AD7"/>
    <w:rsid w:val="00231547"/>
    <w:rsid w:val="002373FC"/>
    <w:rsid w:val="0024190C"/>
    <w:rsid w:val="0024364E"/>
    <w:rsid w:val="002538F8"/>
    <w:rsid w:val="00254041"/>
    <w:rsid w:val="00276998"/>
    <w:rsid w:val="00293285"/>
    <w:rsid w:val="00295B19"/>
    <w:rsid w:val="002A1A6B"/>
    <w:rsid w:val="002A4265"/>
    <w:rsid w:val="002A4D10"/>
    <w:rsid w:val="002A754D"/>
    <w:rsid w:val="002B10CB"/>
    <w:rsid w:val="002B5CFA"/>
    <w:rsid w:val="002D05F7"/>
    <w:rsid w:val="002D1165"/>
    <w:rsid w:val="002E096B"/>
    <w:rsid w:val="002F29CF"/>
    <w:rsid w:val="00301FEE"/>
    <w:rsid w:val="00327A5F"/>
    <w:rsid w:val="0034126D"/>
    <w:rsid w:val="00341D58"/>
    <w:rsid w:val="003421A0"/>
    <w:rsid w:val="00343E6C"/>
    <w:rsid w:val="00351DFE"/>
    <w:rsid w:val="00353340"/>
    <w:rsid w:val="003615F5"/>
    <w:rsid w:val="00363436"/>
    <w:rsid w:val="00364332"/>
    <w:rsid w:val="00372DA1"/>
    <w:rsid w:val="003731E6"/>
    <w:rsid w:val="00376755"/>
    <w:rsid w:val="00387000"/>
    <w:rsid w:val="003A3DDF"/>
    <w:rsid w:val="003C5B12"/>
    <w:rsid w:val="003D25F6"/>
    <w:rsid w:val="003D5805"/>
    <w:rsid w:val="003D5FB0"/>
    <w:rsid w:val="003E51E2"/>
    <w:rsid w:val="003F3271"/>
    <w:rsid w:val="003F7D35"/>
    <w:rsid w:val="0041221E"/>
    <w:rsid w:val="00423F70"/>
    <w:rsid w:val="0042672C"/>
    <w:rsid w:val="004279F2"/>
    <w:rsid w:val="00441B12"/>
    <w:rsid w:val="00443C19"/>
    <w:rsid w:val="00457A35"/>
    <w:rsid w:val="004644E9"/>
    <w:rsid w:val="00467EE8"/>
    <w:rsid w:val="00472CE2"/>
    <w:rsid w:val="0047493A"/>
    <w:rsid w:val="00485752"/>
    <w:rsid w:val="00485D7B"/>
    <w:rsid w:val="004B7D56"/>
    <w:rsid w:val="004C1100"/>
    <w:rsid w:val="004D1F29"/>
    <w:rsid w:val="004D3781"/>
    <w:rsid w:val="004E2294"/>
    <w:rsid w:val="004E31F9"/>
    <w:rsid w:val="004F449E"/>
    <w:rsid w:val="005133EB"/>
    <w:rsid w:val="005149B0"/>
    <w:rsid w:val="005318A3"/>
    <w:rsid w:val="00534E1C"/>
    <w:rsid w:val="00545492"/>
    <w:rsid w:val="00546040"/>
    <w:rsid w:val="005472A8"/>
    <w:rsid w:val="0054746D"/>
    <w:rsid w:val="0055429C"/>
    <w:rsid w:val="005624C7"/>
    <w:rsid w:val="005669E8"/>
    <w:rsid w:val="00570C14"/>
    <w:rsid w:val="00573D43"/>
    <w:rsid w:val="00574BFA"/>
    <w:rsid w:val="00584FCC"/>
    <w:rsid w:val="00594273"/>
    <w:rsid w:val="00594C4B"/>
    <w:rsid w:val="005A0375"/>
    <w:rsid w:val="005A3616"/>
    <w:rsid w:val="005B48E6"/>
    <w:rsid w:val="005B7609"/>
    <w:rsid w:val="005C34AC"/>
    <w:rsid w:val="005D4982"/>
    <w:rsid w:val="0060072F"/>
    <w:rsid w:val="00621E30"/>
    <w:rsid w:val="00625F1A"/>
    <w:rsid w:val="006302FB"/>
    <w:rsid w:val="0063251D"/>
    <w:rsid w:val="006359EE"/>
    <w:rsid w:val="00645F56"/>
    <w:rsid w:val="00664CAF"/>
    <w:rsid w:val="00666D2D"/>
    <w:rsid w:val="00674127"/>
    <w:rsid w:val="0068596A"/>
    <w:rsid w:val="00697162"/>
    <w:rsid w:val="006A4913"/>
    <w:rsid w:val="006A63A1"/>
    <w:rsid w:val="006B28F9"/>
    <w:rsid w:val="006B5C2F"/>
    <w:rsid w:val="006C05D8"/>
    <w:rsid w:val="006C566D"/>
    <w:rsid w:val="006D60CF"/>
    <w:rsid w:val="006D6ADD"/>
    <w:rsid w:val="006D6E2C"/>
    <w:rsid w:val="006E4B42"/>
    <w:rsid w:val="006E63D7"/>
    <w:rsid w:val="00705900"/>
    <w:rsid w:val="00706404"/>
    <w:rsid w:val="00706637"/>
    <w:rsid w:val="00712B9A"/>
    <w:rsid w:val="00715611"/>
    <w:rsid w:val="00716694"/>
    <w:rsid w:val="007208A0"/>
    <w:rsid w:val="00731908"/>
    <w:rsid w:val="00733A50"/>
    <w:rsid w:val="0076092A"/>
    <w:rsid w:val="0076213D"/>
    <w:rsid w:val="00767642"/>
    <w:rsid w:val="007751B7"/>
    <w:rsid w:val="00776B1D"/>
    <w:rsid w:val="0078160F"/>
    <w:rsid w:val="00781734"/>
    <w:rsid w:val="00783009"/>
    <w:rsid w:val="0078375D"/>
    <w:rsid w:val="00785254"/>
    <w:rsid w:val="00792FBE"/>
    <w:rsid w:val="007A5AAD"/>
    <w:rsid w:val="007B0561"/>
    <w:rsid w:val="007C1F07"/>
    <w:rsid w:val="007D1A67"/>
    <w:rsid w:val="007E3A9A"/>
    <w:rsid w:val="00803B6E"/>
    <w:rsid w:val="00817093"/>
    <w:rsid w:val="00827DC5"/>
    <w:rsid w:val="00834977"/>
    <w:rsid w:val="00852D4C"/>
    <w:rsid w:val="00866078"/>
    <w:rsid w:val="0087330A"/>
    <w:rsid w:val="008824F2"/>
    <w:rsid w:val="00894F76"/>
    <w:rsid w:val="008956BC"/>
    <w:rsid w:val="008A1DC0"/>
    <w:rsid w:val="008A6D31"/>
    <w:rsid w:val="008B5039"/>
    <w:rsid w:val="008C23CD"/>
    <w:rsid w:val="008C7F84"/>
    <w:rsid w:val="008E3676"/>
    <w:rsid w:val="0091046C"/>
    <w:rsid w:val="009169BF"/>
    <w:rsid w:val="00926B18"/>
    <w:rsid w:val="00927A0D"/>
    <w:rsid w:val="00936F12"/>
    <w:rsid w:val="009370C2"/>
    <w:rsid w:val="00942D26"/>
    <w:rsid w:val="009437EA"/>
    <w:rsid w:val="00950824"/>
    <w:rsid w:val="009559AF"/>
    <w:rsid w:val="009644F7"/>
    <w:rsid w:val="00965CC9"/>
    <w:rsid w:val="00981B11"/>
    <w:rsid w:val="00984823"/>
    <w:rsid w:val="00991A36"/>
    <w:rsid w:val="009A6CF9"/>
    <w:rsid w:val="009E071F"/>
    <w:rsid w:val="009E4AD0"/>
    <w:rsid w:val="009F5F70"/>
    <w:rsid w:val="009F69EE"/>
    <w:rsid w:val="00A014A8"/>
    <w:rsid w:val="00A047AD"/>
    <w:rsid w:val="00A20FAC"/>
    <w:rsid w:val="00A22A8C"/>
    <w:rsid w:val="00A26180"/>
    <w:rsid w:val="00A269E8"/>
    <w:rsid w:val="00A36884"/>
    <w:rsid w:val="00A460EE"/>
    <w:rsid w:val="00A47FC0"/>
    <w:rsid w:val="00A90C7A"/>
    <w:rsid w:val="00A9170D"/>
    <w:rsid w:val="00A94AFC"/>
    <w:rsid w:val="00A94CBB"/>
    <w:rsid w:val="00AA405D"/>
    <w:rsid w:val="00AC02BD"/>
    <w:rsid w:val="00AC5ACE"/>
    <w:rsid w:val="00AD4648"/>
    <w:rsid w:val="00AD5D3E"/>
    <w:rsid w:val="00AE0547"/>
    <w:rsid w:val="00AE3A1D"/>
    <w:rsid w:val="00AF3675"/>
    <w:rsid w:val="00B15BB0"/>
    <w:rsid w:val="00B27D3E"/>
    <w:rsid w:val="00B47888"/>
    <w:rsid w:val="00B512FA"/>
    <w:rsid w:val="00B7372E"/>
    <w:rsid w:val="00B83875"/>
    <w:rsid w:val="00B85351"/>
    <w:rsid w:val="00B919F8"/>
    <w:rsid w:val="00BC6465"/>
    <w:rsid w:val="00BD2090"/>
    <w:rsid w:val="00BE5670"/>
    <w:rsid w:val="00BE744D"/>
    <w:rsid w:val="00BF39F5"/>
    <w:rsid w:val="00BF4FD3"/>
    <w:rsid w:val="00C20459"/>
    <w:rsid w:val="00C2574A"/>
    <w:rsid w:val="00C33C32"/>
    <w:rsid w:val="00C41985"/>
    <w:rsid w:val="00C57F1B"/>
    <w:rsid w:val="00C628CD"/>
    <w:rsid w:val="00C6702F"/>
    <w:rsid w:val="00C7169A"/>
    <w:rsid w:val="00C7415D"/>
    <w:rsid w:val="00C81B83"/>
    <w:rsid w:val="00C8402D"/>
    <w:rsid w:val="00CB01AF"/>
    <w:rsid w:val="00CB7F00"/>
    <w:rsid w:val="00CC58E7"/>
    <w:rsid w:val="00CE0B24"/>
    <w:rsid w:val="00CE0DC0"/>
    <w:rsid w:val="00CE2336"/>
    <w:rsid w:val="00D03AC3"/>
    <w:rsid w:val="00D03DCB"/>
    <w:rsid w:val="00D04587"/>
    <w:rsid w:val="00D04783"/>
    <w:rsid w:val="00D05FD3"/>
    <w:rsid w:val="00D1078A"/>
    <w:rsid w:val="00D147C1"/>
    <w:rsid w:val="00D14CCC"/>
    <w:rsid w:val="00D22E66"/>
    <w:rsid w:val="00D25538"/>
    <w:rsid w:val="00D265D2"/>
    <w:rsid w:val="00D26654"/>
    <w:rsid w:val="00D44B0C"/>
    <w:rsid w:val="00D50F33"/>
    <w:rsid w:val="00D52954"/>
    <w:rsid w:val="00D52EEA"/>
    <w:rsid w:val="00D57A25"/>
    <w:rsid w:val="00D75A7E"/>
    <w:rsid w:val="00D86796"/>
    <w:rsid w:val="00D95235"/>
    <w:rsid w:val="00D96D9D"/>
    <w:rsid w:val="00D9756B"/>
    <w:rsid w:val="00DA7C3D"/>
    <w:rsid w:val="00DC18CD"/>
    <w:rsid w:val="00DC4AD2"/>
    <w:rsid w:val="00DC7EAE"/>
    <w:rsid w:val="00DD23B8"/>
    <w:rsid w:val="00DD2B97"/>
    <w:rsid w:val="00DE280E"/>
    <w:rsid w:val="00DE5830"/>
    <w:rsid w:val="00DE7967"/>
    <w:rsid w:val="00DF7E31"/>
    <w:rsid w:val="00E057BF"/>
    <w:rsid w:val="00E10B80"/>
    <w:rsid w:val="00E11A4E"/>
    <w:rsid w:val="00E2678E"/>
    <w:rsid w:val="00E30BC3"/>
    <w:rsid w:val="00E3188A"/>
    <w:rsid w:val="00E40BB7"/>
    <w:rsid w:val="00E51105"/>
    <w:rsid w:val="00E6183B"/>
    <w:rsid w:val="00E704EC"/>
    <w:rsid w:val="00E73F76"/>
    <w:rsid w:val="00E80E4D"/>
    <w:rsid w:val="00E818E4"/>
    <w:rsid w:val="00E9244E"/>
    <w:rsid w:val="00EA0B13"/>
    <w:rsid w:val="00EB5A0D"/>
    <w:rsid w:val="00EC6CA8"/>
    <w:rsid w:val="00ED6D38"/>
    <w:rsid w:val="00EE129B"/>
    <w:rsid w:val="00EF170A"/>
    <w:rsid w:val="00EF4F00"/>
    <w:rsid w:val="00EF63E8"/>
    <w:rsid w:val="00F006D6"/>
    <w:rsid w:val="00F31804"/>
    <w:rsid w:val="00F3701F"/>
    <w:rsid w:val="00F44033"/>
    <w:rsid w:val="00F61C4C"/>
    <w:rsid w:val="00F70C4B"/>
    <w:rsid w:val="00F9654B"/>
    <w:rsid w:val="00F96C5F"/>
    <w:rsid w:val="00FA507A"/>
    <w:rsid w:val="00FA7B4F"/>
    <w:rsid w:val="00FB08D2"/>
    <w:rsid w:val="00FD3C0C"/>
    <w:rsid w:val="00FE4565"/>
    <w:rsid w:val="00FF536A"/>
    <w:rsid w:val="00FF70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75"/>
    <w:pPr>
      <w:widowControl w:val="0"/>
      <w:jc w:val="both"/>
    </w:pPr>
    <w:rPr>
      <w:rFonts w:ascii="Calibri" w:hAnsi="Calibri"/>
      <w:kern w:val="2"/>
      <w:sz w:val="21"/>
      <w:szCs w:val="24"/>
    </w:rPr>
  </w:style>
  <w:style w:type="paragraph" w:styleId="1">
    <w:name w:val="heading 1"/>
    <w:basedOn w:val="a"/>
    <w:next w:val="a"/>
    <w:link w:val="1Char"/>
    <w:uiPriority w:val="99"/>
    <w:qFormat/>
    <w:rsid w:val="00AF3675"/>
    <w:pPr>
      <w:ind w:right="140" w:hanging="1918"/>
      <w:jc w:val="right"/>
      <w:outlineLvl w:val="0"/>
    </w:pPr>
    <w:rPr>
      <w:rFonts w:ascii="方正黑体_GBK" w:eastAsia="方正黑体_GBK" w:hAnsi="方正黑体_GBK" w:cs="方正黑体_GBK"/>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F3675"/>
    <w:rPr>
      <w:rFonts w:ascii="Calibri" w:hAnsi="Calibri" w:cs="Times New Roman"/>
      <w:b/>
      <w:bCs/>
      <w:kern w:val="44"/>
      <w:sz w:val="44"/>
      <w:szCs w:val="44"/>
    </w:rPr>
  </w:style>
  <w:style w:type="paragraph" w:styleId="a3">
    <w:name w:val="Body Text"/>
    <w:basedOn w:val="a"/>
    <w:link w:val="Char"/>
    <w:uiPriority w:val="99"/>
    <w:rsid w:val="00AF3675"/>
    <w:rPr>
      <w:rFonts w:ascii="Arial Unicode MS" w:eastAsia="Arial Unicode MS" w:hAnsi="Arial Unicode MS" w:cs="Arial Unicode MS"/>
      <w:sz w:val="20"/>
      <w:szCs w:val="20"/>
      <w:lang w:val="zh-CN"/>
    </w:rPr>
  </w:style>
  <w:style w:type="character" w:customStyle="1" w:styleId="Char">
    <w:name w:val="正文文本 Char"/>
    <w:basedOn w:val="a0"/>
    <w:link w:val="a3"/>
    <w:uiPriority w:val="99"/>
    <w:locked/>
    <w:rsid w:val="00AF3675"/>
    <w:rPr>
      <w:rFonts w:ascii="Calibri" w:hAnsi="Calibri" w:cs="Times New Roman"/>
      <w:sz w:val="24"/>
      <w:szCs w:val="24"/>
    </w:rPr>
  </w:style>
  <w:style w:type="paragraph" w:styleId="a4">
    <w:name w:val="Normal (Web)"/>
    <w:basedOn w:val="a"/>
    <w:uiPriority w:val="99"/>
    <w:rsid w:val="00AF3675"/>
    <w:pPr>
      <w:spacing w:beforeAutospacing="1" w:afterAutospacing="1"/>
      <w:jc w:val="left"/>
    </w:pPr>
    <w:rPr>
      <w:kern w:val="0"/>
      <w:sz w:val="24"/>
    </w:rPr>
  </w:style>
  <w:style w:type="character" w:styleId="a5">
    <w:name w:val="Strong"/>
    <w:basedOn w:val="a0"/>
    <w:uiPriority w:val="99"/>
    <w:qFormat/>
    <w:rsid w:val="00AF3675"/>
    <w:rPr>
      <w:rFonts w:cs="Times New Roman"/>
      <w:b/>
    </w:rPr>
  </w:style>
  <w:style w:type="paragraph" w:styleId="a6">
    <w:name w:val="List Paragraph"/>
    <w:basedOn w:val="a"/>
    <w:uiPriority w:val="99"/>
    <w:qFormat/>
    <w:rsid w:val="00AF3675"/>
    <w:pPr>
      <w:ind w:firstLineChars="200" w:firstLine="420"/>
    </w:pPr>
  </w:style>
  <w:style w:type="paragraph" w:styleId="a7">
    <w:name w:val="header"/>
    <w:basedOn w:val="a"/>
    <w:link w:val="Char0"/>
    <w:uiPriority w:val="99"/>
    <w:rsid w:val="00AF36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AF3675"/>
    <w:rPr>
      <w:rFonts w:ascii="Calibri" w:eastAsia="宋体" w:hAnsi="Calibri" w:cs="Times New Roman"/>
      <w:kern w:val="2"/>
      <w:sz w:val="18"/>
      <w:szCs w:val="18"/>
    </w:rPr>
  </w:style>
  <w:style w:type="paragraph" w:styleId="a8">
    <w:name w:val="footer"/>
    <w:basedOn w:val="a"/>
    <w:link w:val="Char1"/>
    <w:uiPriority w:val="99"/>
    <w:rsid w:val="00AF3675"/>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AF3675"/>
    <w:rPr>
      <w:rFonts w:ascii="Calibri" w:eastAsia="宋体" w:hAnsi="Calibri" w:cs="Times New Roman"/>
      <w:kern w:val="2"/>
      <w:sz w:val="18"/>
      <w:szCs w:val="18"/>
    </w:rPr>
  </w:style>
  <w:style w:type="paragraph" w:styleId="a9">
    <w:name w:val="footnote text"/>
    <w:basedOn w:val="a"/>
    <w:link w:val="Char2"/>
    <w:uiPriority w:val="99"/>
    <w:rsid w:val="00AF3675"/>
    <w:pPr>
      <w:snapToGrid w:val="0"/>
      <w:jc w:val="left"/>
    </w:pPr>
    <w:rPr>
      <w:sz w:val="18"/>
      <w:szCs w:val="18"/>
    </w:rPr>
  </w:style>
  <w:style w:type="character" w:customStyle="1" w:styleId="Char2">
    <w:name w:val="脚注文本 Char"/>
    <w:basedOn w:val="a0"/>
    <w:link w:val="a9"/>
    <w:uiPriority w:val="99"/>
    <w:locked/>
    <w:rsid w:val="00AF3675"/>
    <w:rPr>
      <w:rFonts w:ascii="Calibri" w:eastAsia="宋体" w:hAnsi="Calibri" w:cs="Times New Roman"/>
      <w:kern w:val="2"/>
      <w:sz w:val="18"/>
      <w:szCs w:val="18"/>
    </w:rPr>
  </w:style>
  <w:style w:type="character" w:styleId="aa">
    <w:name w:val="footnote reference"/>
    <w:basedOn w:val="a0"/>
    <w:uiPriority w:val="99"/>
    <w:rsid w:val="00AF3675"/>
    <w:rPr>
      <w:rFonts w:cs="Times New Roman"/>
      <w:vertAlign w:val="superscript"/>
    </w:rPr>
  </w:style>
  <w:style w:type="character" w:styleId="ab">
    <w:name w:val="Hyperlink"/>
    <w:basedOn w:val="a0"/>
    <w:uiPriority w:val="99"/>
    <w:rsid w:val="00AF3675"/>
    <w:rPr>
      <w:rFonts w:cs="Times New Roman"/>
      <w:color w:val="0563C1"/>
      <w:u w:val="single"/>
    </w:rPr>
  </w:style>
  <w:style w:type="character" w:styleId="ac">
    <w:name w:val="page number"/>
    <w:basedOn w:val="a0"/>
    <w:uiPriority w:val="99"/>
    <w:rsid w:val="00AF3675"/>
    <w:rPr>
      <w:rFonts w:cs="Times New Roman"/>
    </w:rPr>
  </w:style>
  <w:style w:type="paragraph" w:styleId="ad">
    <w:name w:val="Balloon Text"/>
    <w:basedOn w:val="a"/>
    <w:link w:val="Char3"/>
    <w:uiPriority w:val="99"/>
    <w:semiHidden/>
    <w:rsid w:val="00457A35"/>
    <w:rPr>
      <w:sz w:val="18"/>
      <w:szCs w:val="18"/>
    </w:rPr>
  </w:style>
  <w:style w:type="character" w:customStyle="1" w:styleId="Char3">
    <w:name w:val="批注框文本 Char"/>
    <w:basedOn w:val="a0"/>
    <w:link w:val="ad"/>
    <w:uiPriority w:val="99"/>
    <w:semiHidden/>
    <w:locked/>
    <w:rsid w:val="00457A35"/>
    <w:rPr>
      <w:rFonts w:ascii="Calibri" w:hAnsi="Calibri" w:cs="Times New Roman"/>
      <w:sz w:val="18"/>
      <w:szCs w:val="18"/>
    </w:rPr>
  </w:style>
  <w:style w:type="table" w:styleId="ae">
    <w:name w:val="Table Grid"/>
    <w:basedOn w:val="a1"/>
    <w:uiPriority w:val="99"/>
    <w:rsid w:val="0092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16259</TotalTime>
  <Pages>18</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超彬</dc:creator>
  <cp:keywords/>
  <dc:description/>
  <cp:lastModifiedBy>yijia</cp:lastModifiedBy>
  <cp:revision>186</cp:revision>
  <cp:lastPrinted>2018-06-25T03:23:00Z</cp:lastPrinted>
  <dcterms:created xsi:type="dcterms:W3CDTF">2014-10-29T12:08:00Z</dcterms:created>
  <dcterms:modified xsi:type="dcterms:W3CDTF">2019-11-22T03:33:00Z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